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4014D"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安全评价项目信息表</w:t>
      </w:r>
    </w:p>
    <w:p w14:paraId="520393D2"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项目编号：</w:t>
      </w:r>
    </w:p>
    <w:tbl>
      <w:tblPr>
        <w:tblStyle w:val="9"/>
        <w:tblW w:w="5000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68" w:type="dxa"/>
          <w:left w:w="108" w:type="dxa"/>
          <w:bottom w:w="68" w:type="dxa"/>
          <w:right w:w="108" w:type="dxa"/>
        </w:tblCellMar>
      </w:tblPr>
      <w:tblGrid>
        <w:gridCol w:w="1832"/>
        <w:gridCol w:w="2188"/>
        <w:gridCol w:w="2350"/>
        <w:gridCol w:w="2918"/>
      </w:tblGrid>
      <w:tr w14:paraId="226AAF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60D14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项目名称</w:t>
            </w:r>
          </w:p>
        </w:tc>
        <w:tc>
          <w:tcPr>
            <w:tcW w:w="745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C1E73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山东金泰山漆业有限公司经营危险化学品安全评价</w:t>
            </w:r>
          </w:p>
        </w:tc>
      </w:tr>
      <w:tr w14:paraId="446D3D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451" w:hRule="atLeast"/>
          <w:jc w:val="center"/>
        </w:trPr>
        <w:tc>
          <w:tcPr>
            <w:tcW w:w="1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F19601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项目简介</w:t>
            </w:r>
          </w:p>
        </w:tc>
        <w:tc>
          <w:tcPr>
            <w:tcW w:w="7456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2A6D93">
            <w:pPr>
              <w:adjustRightInd w:val="0"/>
              <w:snapToGrid w:val="0"/>
              <w:spacing w:line="240" w:lineRule="auto"/>
              <w:rPr>
                <w:rFonts w:hint="eastAsia" w:ascii="宋体" w:hAnsi="宋体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4"/>
                <w:lang w:val="en-US" w:eastAsia="zh-CN"/>
              </w:rPr>
              <w:t>山东金泰山漆业有限公司成立于2000年5月9日，注册地位于肥城市老城镇工业开发区，法定代表人为陈强。经营范围：油漆（有效期限以许可证为准），涂料、化工原料（危险品除外）、胶粘剂生产、销售，印铁、制罐加工、销售，建筑物内装修，油漆、乳胶漆粉刷，外墙保温材料、真石漆销售，外墙施工（依法须经批准的项目，经相关部门批准后方可开展经营活动）。</w:t>
            </w:r>
          </w:p>
          <w:p w14:paraId="17E4DF29">
            <w:pPr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0"/>
                <w:szCs w:val="24"/>
                <w:lang w:val="en-US" w:eastAsia="zh-CN"/>
              </w:rPr>
              <w:t>该公司原为危险化学品生产企业，公司基于降低风险、提升合规水平，优化经营效率，调整为外购醇酸树脂涂料、醇酸树脂、200#溶剂油在生产一车间内划分专用区域进行分装作业，不再进行油漆的生产，利用厂内1#仓库储存醇酸树脂涂料，乙类物品棚储存醇酸树脂、200#溶剂油进行危险化学品经营。根据《山东省应急管理厅关于印发&lt;山东省危险化学品经营许可证实施细则&gt;的通知》鲁应急发〔2025〕4号第11条附则：购买危险化学品进行分装、销售的应办理危险化学品经营许可证。</w:t>
            </w:r>
          </w:p>
        </w:tc>
      </w:tr>
      <w:tr w14:paraId="386E19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9491F6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评价人员</w:t>
            </w: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B6C3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姓  名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C3787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29A00B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86F646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项目负责人</w:t>
            </w: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EB6F9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马琳琳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D2163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25ECFC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879940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项目组成员</w:t>
            </w: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DF95D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刘卫国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60482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79E9FA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9202B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4F52F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辛磊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E8AAF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62BDA0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ED5544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183EC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赵云峰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94D1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540DB4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2870CC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3DF94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王静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D9642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4C132C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4DD2CD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报告编制人</w:t>
            </w: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3045BA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en-US"/>
              </w:rPr>
              <w:t>马琳琳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8A0E4D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3CF0C3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CA80E7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报告审核人</w:t>
            </w: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7A0C8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赵燕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45E79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0417B2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FDC7D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过程控制负责人</w:t>
            </w: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D161F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刘云红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1A54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2F1ACC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31861D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技术负责人</w:t>
            </w: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38A4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孙虎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EC4A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61A832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7DAAF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技术专家</w:t>
            </w:r>
          </w:p>
          <w:p w14:paraId="2918FABA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或有关技术人员</w:t>
            </w: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99373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C5313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77CB9B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927DBA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C3920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7C5D1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38A974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E75140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D06E4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196B2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44C97B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9F2061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453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695A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D10FF6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3DA1BB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F981BA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到现场开展安全</w:t>
            </w:r>
          </w:p>
          <w:p w14:paraId="0E934830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评价工作情况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2D7C9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时  间</w:t>
            </w:r>
          </w:p>
        </w:tc>
        <w:tc>
          <w:tcPr>
            <w:tcW w:w="2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855DD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到现场主要人员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76791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主要任务</w:t>
            </w:r>
          </w:p>
        </w:tc>
      </w:tr>
      <w:tr w14:paraId="3F8CC1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A64FA6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783F6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2026.3.15</w:t>
            </w:r>
          </w:p>
        </w:tc>
        <w:tc>
          <w:tcPr>
            <w:tcW w:w="2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4AA9A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马琳琳 辛磊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66DE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初访</w:t>
            </w:r>
          </w:p>
        </w:tc>
      </w:tr>
      <w:tr w14:paraId="7827D2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D3887E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B6E83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2026.4.10</w:t>
            </w:r>
          </w:p>
        </w:tc>
        <w:tc>
          <w:tcPr>
            <w:tcW w:w="2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E14CF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马琳琳 辛磊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B5578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现场考察</w:t>
            </w:r>
          </w:p>
        </w:tc>
      </w:tr>
      <w:tr w14:paraId="3350FC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5138F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34FA90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2026.4.16</w:t>
            </w:r>
          </w:p>
        </w:tc>
        <w:tc>
          <w:tcPr>
            <w:tcW w:w="2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84878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马琳琳 辛磊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AFC3F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现场检查</w:t>
            </w:r>
          </w:p>
        </w:tc>
      </w:tr>
      <w:tr w14:paraId="299C43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3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BEE2D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58D80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2026.4.18</w:t>
            </w:r>
          </w:p>
        </w:tc>
        <w:tc>
          <w:tcPr>
            <w:tcW w:w="2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6D4A6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马琳琳 辛磊</w:t>
            </w:r>
          </w:p>
        </w:tc>
        <w:tc>
          <w:tcPr>
            <w:tcW w:w="29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FF6AC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现场核查</w:t>
            </w:r>
          </w:p>
        </w:tc>
      </w:tr>
      <w:tr w14:paraId="24BDDD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928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22DFC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安全评价报告提交时间：2026.5.9</w:t>
            </w:r>
          </w:p>
        </w:tc>
      </w:tr>
      <w:tr w14:paraId="1613A8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68" w:type="dxa"/>
            <w:left w:w="108" w:type="dxa"/>
            <w:bottom w:w="68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928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C41105">
            <w:pPr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有必要公开的其它内容：</w:t>
            </w:r>
          </w:p>
        </w:tc>
      </w:tr>
    </w:tbl>
    <w:p w14:paraId="18CF9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 w14:paraId="7D551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</w:pPr>
    </w:p>
    <w:p w14:paraId="02F18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评价现场照片</w:t>
      </w:r>
    </w:p>
    <w:p w14:paraId="4BE7AB56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rPr>
          <w:rFonts w:hint="default"/>
          <w:lang w:val="en-US" w:eastAsia="zh-CN"/>
        </w:rPr>
        <w:sectPr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4325620" cy="3075305"/>
            <wp:effectExtent l="0" t="0" r="17780" b="1079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25620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6" w:name="_GoBack"/>
      <w:r>
        <w:drawing>
          <wp:inline distT="0" distB="0" distL="114300" distR="114300">
            <wp:extent cx="4180205" cy="3216275"/>
            <wp:effectExtent l="0" t="0" r="10795" b="317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80205" cy="321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6"/>
    </w:p>
    <w:p w14:paraId="4ED43F80">
      <w:pPr>
        <w:pStyle w:val="5"/>
        <w:keepNext w:val="0"/>
        <w:adjustRightInd w:val="0"/>
        <w:snapToGrid w:val="0"/>
        <w:spacing w:beforeLines="0" w:afterLines="0" w:line="360" w:lineRule="auto"/>
        <w:ind w:right="0"/>
        <w:rPr>
          <w:rFonts w:hint="eastAsia" w:ascii="楷体_GB2312" w:eastAsia="楷体_GB2312"/>
          <w:b/>
          <w:snapToGrid w:val="0"/>
          <w:color w:val="000000"/>
          <w:sz w:val="24"/>
          <w:szCs w:val="24"/>
        </w:rPr>
      </w:pPr>
      <w:bookmarkStart w:id="0" w:name="_Toc321761904"/>
      <w:bookmarkStart w:id="1" w:name="_Toc2321"/>
      <w:bookmarkStart w:id="2" w:name="_Toc24232"/>
      <w:bookmarkStart w:id="3" w:name="_Toc238007575"/>
      <w:bookmarkStart w:id="4" w:name="_Toc22578"/>
      <w:bookmarkStart w:id="5" w:name="_Toc15033755"/>
      <w:bookmarkStart w:id="6" w:name="_Toc102633982"/>
      <w:bookmarkStart w:id="7" w:name="_Toc19785"/>
      <w:bookmarkStart w:id="8" w:name="_Toc102634259"/>
      <w:bookmarkStart w:id="9" w:name="_Toc188080068"/>
      <w:bookmarkStart w:id="10" w:name="_Toc188079886"/>
      <w:bookmarkStart w:id="11" w:name="_Toc192907202"/>
      <w:bookmarkStart w:id="12" w:name="_Toc15488"/>
      <w:bookmarkStart w:id="13" w:name="_Toc102633908"/>
      <w:bookmarkStart w:id="14" w:name="_Toc272364537"/>
      <w:bookmarkStart w:id="15" w:name="_Toc2367"/>
      <w:bookmarkStart w:id="16" w:name="_Toc198026274"/>
      <w:bookmarkStart w:id="17" w:name="_Toc102634408"/>
      <w:r>
        <w:rPr>
          <w:rStyle w:val="23"/>
          <w:rFonts w:hint="eastAsia" w:ascii="楷体_GB2312" w:eastAsia="楷体_GB2312"/>
          <w:snapToGrid w:val="0"/>
          <w:color w:val="000000"/>
          <w:kern w:val="0"/>
          <w:sz w:val="32"/>
          <w:szCs w:val="24"/>
        </w:rPr>
        <w:t>第一节单位简介</w:t>
      </w:r>
      <w:bookmarkEnd w:id="0"/>
      <w:bookmarkEnd w:id="1"/>
    </w:p>
    <w:p w14:paraId="3E550502">
      <w:pPr>
        <w:widowControl w:val="0"/>
        <w:adjustRightInd w:val="0"/>
        <w:snapToGrid w:val="0"/>
        <w:spacing w:beforeLines="0" w:afterLines="0" w:line="360" w:lineRule="auto"/>
        <w:ind w:firstLine="560" w:firstLineChars="200"/>
        <w:rPr>
          <w:rFonts w:hint="eastAsia" w:ascii="宋体" w:hAnsi="宋体"/>
          <w:snapToGrid w:val="0"/>
          <w:sz w:val="28"/>
          <w:szCs w:val="28"/>
        </w:rPr>
      </w:pPr>
      <w:r>
        <w:rPr>
          <w:rFonts w:hint="eastAsia" w:ascii="宋体" w:hAnsi="宋体"/>
          <w:snapToGrid w:val="0"/>
          <w:sz w:val="28"/>
          <w:szCs w:val="28"/>
        </w:rPr>
        <w:t>山东金泰山漆业有限公司注册地址位于肥城市老城镇工业开发区，成立于2000年5月9日，企业类型为有限责任公司（自然人投资或控股），注册资本陆仟万元整，法定代表人为陈强。</w:t>
      </w:r>
      <w:r>
        <w:rPr>
          <w:rFonts w:hint="eastAsia" w:ascii="宋体" w:hAnsi="宋体"/>
          <w:kern w:val="28"/>
          <w:sz w:val="28"/>
          <w:szCs w:val="28"/>
        </w:rPr>
        <w:t>公司南侧为闲置生产辅助用房，北侧为肥城市元盛建材有限公司建材生产一车间、建材生产二车间，西侧为泰安东岳啤酒有限公司宿舍楼、储藏室、餐厅（已废弃）等，东侧为肥万路</w:t>
      </w:r>
      <w:r>
        <w:rPr>
          <w:rFonts w:hint="eastAsia" w:ascii="宋体" w:hAnsi="宋体"/>
          <w:snapToGrid w:val="0"/>
          <w:sz w:val="28"/>
          <w:szCs w:val="28"/>
        </w:rPr>
        <w:t>。</w:t>
      </w:r>
    </w:p>
    <w:p w14:paraId="78035708">
      <w:pPr>
        <w:widowControl w:val="0"/>
        <w:adjustRightInd w:val="0"/>
        <w:snapToGrid w:val="0"/>
        <w:spacing w:beforeLines="0" w:afterLines="0" w:line="360" w:lineRule="auto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napToGrid w:val="0"/>
          <w:sz w:val="28"/>
          <w:szCs w:val="28"/>
        </w:rPr>
        <w:t>该公司现有从业人员15人，主要负责人为陈强，配备专职安全管理人员1名，主要负责人和专职安全生产人员均经过培训，考核合格</w:t>
      </w:r>
      <w:r>
        <w:rPr>
          <w:rFonts w:hint="eastAsia" w:ascii="宋体" w:hAnsi="宋体"/>
          <w:kern w:val="28"/>
          <w:sz w:val="28"/>
          <w:szCs w:val="28"/>
        </w:rPr>
        <w:t>。</w:t>
      </w:r>
      <w:r>
        <w:rPr>
          <w:rFonts w:hint="eastAsia"/>
          <w:kern w:val="28"/>
          <w:sz w:val="28"/>
          <w:szCs w:val="28"/>
        </w:rPr>
        <w:t>该公司安全管理人员配置</w:t>
      </w:r>
      <w:r>
        <w:rPr>
          <w:rFonts w:hint="eastAsia"/>
          <w:sz w:val="28"/>
          <w:szCs w:val="28"/>
        </w:rPr>
        <w:t>满足《安全生产法</w:t>
      </w:r>
      <w:r>
        <w:rPr>
          <w:rFonts w:hint="eastAsia" w:ascii="宋体" w:hAnsi="宋体"/>
          <w:sz w:val="28"/>
          <w:szCs w:val="28"/>
        </w:rPr>
        <w:t>》第二</w:t>
      </w:r>
      <w:r>
        <w:rPr>
          <w:rFonts w:hint="eastAsia" w:ascii="宋体" w:hAnsi="宋体"/>
          <w:snapToGrid w:val="0"/>
          <w:sz w:val="28"/>
          <w:szCs w:val="28"/>
        </w:rPr>
        <w:t>十四条以及《山东省生产经营单位安全生产主体责任规定》第十条</w:t>
      </w:r>
      <w:r>
        <w:rPr>
          <w:rFonts w:hint="eastAsia" w:ascii="宋体" w:hAnsi="宋体"/>
          <w:sz w:val="28"/>
          <w:szCs w:val="28"/>
        </w:rPr>
        <w:t>的规定。</w:t>
      </w:r>
    </w:p>
    <w:p w14:paraId="74778456">
      <w:pPr>
        <w:widowControl w:val="0"/>
        <w:adjustRightInd w:val="0"/>
        <w:snapToGrid w:val="0"/>
        <w:spacing w:beforeLines="0" w:afterLines="0" w:line="360" w:lineRule="auto"/>
        <w:ind w:firstLine="560" w:firstLineChars="200"/>
        <w:rPr>
          <w:rFonts w:hint="eastAsia" w:ascii="宋体" w:hAnsi="宋体"/>
          <w:kern w:val="28"/>
          <w:sz w:val="28"/>
          <w:szCs w:val="28"/>
        </w:rPr>
      </w:pPr>
      <w:r>
        <w:rPr>
          <w:rFonts w:hint="eastAsia" w:ascii="宋体" w:hAnsi="宋体"/>
          <w:kern w:val="28"/>
          <w:sz w:val="28"/>
          <w:szCs w:val="28"/>
        </w:rPr>
        <w:t>公司成立有安全生产领导小组，制定了安全生产管理制度和各级各类人员安全生产责任制，形成了较为完善的安全管理体系，编制了生产安全事故应急救援预案，于2024年10月30</w:t>
      </w:r>
      <w:r>
        <w:rPr>
          <w:rFonts w:hint="eastAsia" w:ascii="宋体" w:hAnsi="宋体"/>
          <w:snapToGrid w:val="0"/>
          <w:sz w:val="28"/>
          <w:szCs w:val="28"/>
        </w:rPr>
        <w:t>日在肥城市</w:t>
      </w:r>
      <w:r>
        <w:rPr>
          <w:rFonts w:hint="eastAsia" w:ascii="宋体" w:hAnsi="宋体"/>
          <w:kern w:val="28"/>
          <w:sz w:val="28"/>
          <w:szCs w:val="28"/>
        </w:rPr>
        <w:t>应急管理局进行了备案（备案编号：370983-2024-W074）。</w:t>
      </w:r>
    </w:p>
    <w:p w14:paraId="18FBD36C">
      <w:pPr>
        <w:widowControl w:val="0"/>
        <w:adjustRightInd w:val="0"/>
        <w:snapToGrid w:val="0"/>
        <w:spacing w:beforeLines="0" w:afterLines="0" w:line="360" w:lineRule="auto"/>
        <w:ind w:firstLine="560" w:firstLineChars="200"/>
        <w:rPr>
          <w:rFonts w:hint="eastAsia" w:ascii="宋体" w:hAnsi="宋体"/>
          <w:kern w:val="28"/>
          <w:sz w:val="28"/>
          <w:szCs w:val="28"/>
        </w:rPr>
      </w:pPr>
      <w:r>
        <w:rPr>
          <w:rFonts w:hint="eastAsia" w:ascii="宋体" w:hAnsi="宋体"/>
          <w:kern w:val="28"/>
          <w:sz w:val="28"/>
          <w:szCs w:val="28"/>
        </w:rPr>
        <w:t>该公司涉及电工2人，叉车司机2人，经过培训持证上岗，证书在有效期内。特种设备作业人员的配备符合《特种作业人员安全技术培训考核管理规定》中华人民共和国应急管理部令第19号、《市场监管总局关于特种设备行政许可有关事项的公告》2019年第41号的要求；其他员工上岗前均经过三级安全教育和专业工种培训，掌握安全知识、专业技术和应急救援知识，并经考核合格后上岗。</w:t>
      </w:r>
    </w:p>
    <w:p w14:paraId="1688090C">
      <w:pPr>
        <w:widowControl w:val="0"/>
        <w:adjustRightInd w:val="0"/>
        <w:snapToGrid w:val="0"/>
        <w:spacing w:beforeLines="0" w:afterLines="0" w:line="360" w:lineRule="auto"/>
        <w:ind w:firstLine="560" w:firstLineChars="200"/>
        <w:rPr>
          <w:rFonts w:hint="eastAsia" w:ascii="宋体" w:hAnsi="宋体"/>
          <w:kern w:val="28"/>
          <w:sz w:val="28"/>
          <w:szCs w:val="28"/>
        </w:rPr>
      </w:pPr>
      <w:r>
        <w:rPr>
          <w:rFonts w:hint="eastAsia" w:ascii="宋体" w:hAnsi="宋体"/>
          <w:kern w:val="28"/>
          <w:sz w:val="28"/>
          <w:szCs w:val="28"/>
        </w:rPr>
        <w:t>该项目1台叉车（车11鲁J40375(21)）于2025年03月14日由泰安市特种设备检验研究院检验合格，有效期至2027年03月，详见附件。</w:t>
      </w:r>
    </w:p>
    <w:p w14:paraId="0C838CCA">
      <w:pPr>
        <w:widowControl w:val="0"/>
        <w:adjustRightInd w:val="0"/>
        <w:snapToGrid w:val="0"/>
        <w:spacing w:beforeLines="0" w:afterLines="0" w:line="344" w:lineRule="auto"/>
        <w:ind w:firstLine="560" w:firstLineChars="200"/>
        <w:rPr>
          <w:rFonts w:hint="eastAsia" w:ascii="宋体" w:hAnsi="宋体"/>
          <w:kern w:val="28"/>
          <w:sz w:val="28"/>
          <w:szCs w:val="28"/>
        </w:rPr>
      </w:pPr>
      <w:r>
        <w:rPr>
          <w:rFonts w:hint="eastAsia" w:ascii="宋体" w:hAnsi="宋体"/>
          <w:kern w:val="28"/>
          <w:sz w:val="28"/>
          <w:szCs w:val="28"/>
        </w:rPr>
        <w:t>该项目涉及的10只可燃气体探测器、1台便携式四合一气体检测仪于2025年05月09日、10月09日分别由山东正源计量检测有限公司、济南德探特检测技术有限公司、山东博测计量检测集团有限公司校准合格，下次最早校准日期为2026年05月08日，详见附件。该项目1#仓库、乙类物品棚、生产一车间于2012年5月18日由肥城市公安消防大队进行消防验收合格，并出具《建筑工程消防验收意见书》，证书编号：肥公消（验）字〔2012〕第126号，详见附件。该公司在亚太财产保险有限公司购买了安全生产责任保险，保险期限：由2026年04月08日至2027年04月07日，保单号：06S02051263202600000000065，投保人数15人，详见附件。</w:t>
      </w:r>
    </w:p>
    <w:p w14:paraId="0B00101D">
      <w:pPr>
        <w:widowControl w:val="0"/>
        <w:wordWrap w:val="0"/>
        <w:adjustRightInd w:val="0"/>
        <w:snapToGrid w:val="0"/>
        <w:spacing w:beforeLines="0" w:afterLines="0" w:line="344" w:lineRule="auto"/>
        <w:ind w:firstLine="560" w:firstLineChars="200"/>
        <w:rPr>
          <w:rFonts w:hint="eastAsia" w:ascii="宋体" w:hAnsi="宋体"/>
          <w:kern w:val="28"/>
          <w:sz w:val="28"/>
          <w:szCs w:val="28"/>
        </w:rPr>
      </w:pPr>
      <w:r>
        <w:rPr>
          <w:rFonts w:hint="eastAsia" w:ascii="宋体" w:hAnsi="宋体"/>
          <w:kern w:val="28"/>
          <w:sz w:val="28"/>
          <w:szCs w:val="28"/>
        </w:rPr>
        <w:t>该项目防雷装置于2026年3月9日由山东雷电防雷检测有限公司检测合格并出具检测报告（报告编号：1122023001[2026]-01-D0166），结论为：合格，建筑物防雷装置符合现行国家防雷规范标准要求。报告有效期至2026年9月26日，详见附件。</w:t>
      </w:r>
    </w:p>
    <w:p w14:paraId="723A2016">
      <w:pPr>
        <w:rPr>
          <w:rFonts w:hint="eastAsia" w:ascii="Times New Roman" w:hAnsi="Times New Roman" w:eastAsia="黑体" w:cs="Times New Roman"/>
          <w:color w:val="auto"/>
          <w:kern w:val="2"/>
          <w:sz w:val="32"/>
          <w:szCs w:val="21"/>
          <w:lang w:val="zh-CN" w:eastAsia="zh-CN" w:bidi="ar-SA"/>
        </w:rPr>
      </w:pP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21"/>
          <w:lang w:val="zh-CN" w:eastAsia="zh-CN" w:bidi="ar-SA"/>
        </w:rPr>
        <w:br w:type="page"/>
      </w:r>
    </w:p>
    <w:p w14:paraId="4EC61E7B">
      <w:pPr>
        <w:pageBreakBefore/>
        <w:widowControl w:val="0"/>
        <w:spacing w:before="389" w:beforeLines="100" w:after="389" w:afterLines="100" w:line="360" w:lineRule="auto"/>
        <w:jc w:val="center"/>
        <w:outlineLvl w:val="0"/>
        <w:rPr>
          <w:rFonts w:hint="eastAsia" w:ascii="Times New Roman" w:hAnsi="Times New Roman" w:eastAsia="黑体" w:cs="Times New Roman"/>
          <w:color w:val="auto"/>
          <w:kern w:val="2"/>
          <w:sz w:val="32"/>
          <w:szCs w:val="21"/>
          <w:lang w:val="zh-CN" w:eastAsia="zh-CN" w:bidi="ar-SA"/>
        </w:rPr>
        <w:sectPr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p w14:paraId="6BB29CFA">
      <w:pPr>
        <w:keepNext w:val="0"/>
        <w:keepLines w:val="0"/>
        <w:pageBreakBefore w:val="0"/>
        <w:widowControl w:val="0"/>
        <w:kinsoku/>
        <w:bidi w:val="0"/>
        <w:adjustRightInd w:val="0"/>
        <w:snapToGrid w:val="0"/>
        <w:spacing w:line="360" w:lineRule="auto"/>
        <w:jc w:val="center"/>
        <w:textAlignment w:val="auto"/>
        <w:outlineLvl w:val="0"/>
        <w:rPr>
          <w:rFonts w:ascii="黑体" w:hAnsi="Times New Roman" w:eastAsia="黑体" w:cs="Times New Roman"/>
          <w:b/>
          <w:snapToGrid w:val="0"/>
          <w:color w:val="000000"/>
          <w:spacing w:val="0"/>
          <w:kern w:val="0"/>
          <w:sz w:val="32"/>
          <w:szCs w:val="32"/>
          <w:highlight w:val="none"/>
          <w:u w:color="000000"/>
          <w:lang w:val="en-US" w:eastAsia="zh-CN" w:bidi="ar-SA"/>
        </w:rPr>
      </w:pPr>
      <w:bookmarkStart w:id="18" w:name="_Toc9927"/>
      <w:bookmarkStart w:id="19" w:name="_Toc14737"/>
      <w:r>
        <w:rPr>
          <w:rFonts w:hint="eastAsia" w:ascii="黑体" w:hAnsi="Times New Roman" w:eastAsia="黑体" w:cs="Times New Roman"/>
          <w:b/>
          <w:snapToGrid w:val="0"/>
          <w:color w:val="000000"/>
          <w:spacing w:val="0"/>
          <w:kern w:val="0"/>
          <w:sz w:val="32"/>
          <w:szCs w:val="32"/>
          <w:highlight w:val="none"/>
          <w:u w:color="000000"/>
          <w:lang w:val="en-US" w:eastAsia="zh-CN" w:bidi="ar-SA"/>
        </w:rPr>
        <w:t xml:space="preserve">第四章 </w:t>
      </w:r>
      <w:r>
        <w:rPr>
          <w:rFonts w:ascii="黑体" w:hAnsi="Times New Roman" w:eastAsia="黑体" w:cs="Times New Roman"/>
          <w:b/>
          <w:snapToGrid w:val="0"/>
          <w:color w:val="000000"/>
          <w:spacing w:val="0"/>
          <w:kern w:val="0"/>
          <w:sz w:val="32"/>
          <w:szCs w:val="32"/>
          <w:highlight w:val="none"/>
          <w:u w:color="000000"/>
          <w:lang w:val="en-US" w:eastAsia="zh-CN" w:bidi="ar-SA"/>
        </w:rPr>
        <w:t>评价</w:t>
      </w:r>
      <w:r>
        <w:rPr>
          <w:rFonts w:hint="eastAsia" w:ascii="黑体" w:hAnsi="Times New Roman" w:eastAsia="黑体" w:cs="Times New Roman"/>
          <w:b/>
          <w:snapToGrid w:val="0"/>
          <w:color w:val="000000"/>
          <w:spacing w:val="0"/>
          <w:kern w:val="0"/>
          <w:sz w:val="32"/>
          <w:szCs w:val="32"/>
          <w:highlight w:val="none"/>
          <w:u w:color="000000"/>
          <w:lang w:val="en-US" w:eastAsia="zh-CN" w:bidi="ar-SA"/>
        </w:rPr>
        <w:t>单元划分和评价方法选择</w:t>
      </w:r>
      <w:bookmarkEnd w:id="18"/>
    </w:p>
    <w:p w14:paraId="2363ECA0">
      <w:pPr>
        <w:keepNext w:val="0"/>
        <w:keepLines w:val="0"/>
        <w:pageBreakBefore w:val="0"/>
        <w:widowControl w:val="0"/>
        <w:kinsoku/>
        <w:bidi w:val="0"/>
        <w:adjustRightInd w:val="0"/>
        <w:snapToGrid w:val="0"/>
        <w:spacing w:line="360" w:lineRule="auto"/>
        <w:ind w:right="0"/>
        <w:jc w:val="center"/>
        <w:textAlignment w:val="auto"/>
        <w:outlineLvl w:val="2"/>
        <w:rPr>
          <w:rFonts w:ascii="楷体_GB2312" w:hAnsi="Times New Roman" w:eastAsia="楷体_GB2312" w:cs="Times New Roman"/>
          <w:snapToGrid w:val="0"/>
          <w:color w:val="000000"/>
          <w:kern w:val="0"/>
          <w:sz w:val="28"/>
          <w:szCs w:val="32"/>
          <w:highlight w:val="none"/>
          <w:u w:color="000000"/>
          <w:lang w:val="en-US" w:eastAsia="zh-CN" w:bidi="ar-SA"/>
        </w:rPr>
      </w:pPr>
      <w:bookmarkStart w:id="20" w:name="_Toc321761913"/>
      <w:bookmarkStart w:id="21" w:name="_Toc15581"/>
      <w:r>
        <w:rPr>
          <w:rFonts w:hint="eastAsia" w:ascii="楷体_GB2312" w:hAnsi="Arial" w:eastAsia="楷体_GB2312" w:cs="Times New Roman"/>
          <w:b/>
          <w:snapToGrid w:val="0"/>
          <w:color w:val="000000"/>
          <w:kern w:val="0"/>
          <w:sz w:val="32"/>
          <w:szCs w:val="32"/>
          <w:highlight w:val="none"/>
          <w:u w:color="000000"/>
          <w:lang w:val="en-US" w:eastAsia="zh-CN" w:bidi="ar-SA"/>
        </w:rPr>
        <w:t>第一节 评价单元划分</w:t>
      </w:r>
      <w:bookmarkEnd w:id="20"/>
      <w:bookmarkEnd w:id="21"/>
    </w:p>
    <w:p w14:paraId="471908A8">
      <w:pPr>
        <w:keepNext w:val="0"/>
        <w:keepLines w:val="0"/>
        <w:pageBreakBefore w:val="0"/>
        <w:widowControl w:val="0"/>
        <w:kinsoku/>
        <w:bidi w:val="0"/>
        <w:snapToGrid w:val="0"/>
        <w:spacing w:line="360" w:lineRule="auto"/>
        <w:ind w:firstLine="562" w:firstLineChars="200"/>
        <w:textAlignment w:val="center"/>
        <w:rPr>
          <w:rFonts w:ascii="黑体" w:hAnsi="Times New Roman" w:eastAsia="黑体" w:cs="Times New Roman"/>
          <w:b/>
          <w:snapToGrid w:val="0"/>
          <w:color w:val="000000"/>
          <w:kern w:val="0"/>
          <w:sz w:val="28"/>
          <w:szCs w:val="28"/>
          <w:highlight w:val="none"/>
          <w:u w:color="000000"/>
        </w:rPr>
      </w:pPr>
      <w:r>
        <w:rPr>
          <w:rFonts w:hint="eastAsia" w:ascii="黑体" w:hAnsi="Times New Roman" w:eastAsia="黑体" w:cs="Times New Roman"/>
          <w:b/>
          <w:snapToGrid w:val="0"/>
          <w:color w:val="000000"/>
          <w:kern w:val="0"/>
          <w:sz w:val="28"/>
          <w:szCs w:val="28"/>
          <w:highlight w:val="none"/>
          <w:u w:color="000000"/>
        </w:rPr>
        <w:t>一、评价单元划分原则</w:t>
      </w:r>
    </w:p>
    <w:p w14:paraId="213A4516">
      <w:pPr>
        <w:keepNext w:val="0"/>
        <w:keepLines w:val="0"/>
        <w:pageBreakBefore w:val="0"/>
        <w:widowControl w:val="0"/>
        <w:kinsoku/>
        <w:bidi w:val="0"/>
        <w:snapToGrid w:val="0"/>
        <w:spacing w:line="360" w:lineRule="auto"/>
        <w:ind w:firstLine="560" w:firstLineChars="200"/>
        <w:textAlignment w:val="center"/>
        <w:rPr>
          <w:rFonts w:ascii="宋体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</w:pPr>
      <w:r>
        <w:rPr>
          <w:rFonts w:hint="eastAsia" w:ascii="宋体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在评价单元的划分中，一般按生产工艺功能、生产设施设备相对空间位置、危险有害因素类别及事故范围划分评价单元，使评价单元相对独立，具有明显的特征界限。</w:t>
      </w:r>
    </w:p>
    <w:p w14:paraId="26DA5DF0">
      <w:pPr>
        <w:keepNext w:val="0"/>
        <w:keepLines w:val="0"/>
        <w:pageBreakBefore w:val="0"/>
        <w:widowControl w:val="0"/>
        <w:kinsoku/>
        <w:bidi w:val="0"/>
        <w:snapToGrid w:val="0"/>
        <w:spacing w:line="360" w:lineRule="auto"/>
        <w:ind w:firstLine="562" w:firstLineChars="200"/>
        <w:textAlignment w:val="center"/>
        <w:rPr>
          <w:rFonts w:ascii="黑体" w:hAnsi="Times New Roman" w:eastAsia="黑体" w:cs="Times New Roman"/>
          <w:b/>
          <w:snapToGrid w:val="0"/>
          <w:color w:val="000000"/>
          <w:kern w:val="0"/>
          <w:sz w:val="28"/>
          <w:szCs w:val="28"/>
          <w:highlight w:val="none"/>
          <w:u w:color="000000"/>
        </w:rPr>
      </w:pPr>
      <w:r>
        <w:rPr>
          <w:rFonts w:hint="eastAsia" w:ascii="黑体" w:hAnsi="Times New Roman" w:eastAsia="黑体" w:cs="Times New Roman"/>
          <w:b/>
          <w:snapToGrid w:val="0"/>
          <w:color w:val="000000"/>
          <w:kern w:val="0"/>
          <w:sz w:val="28"/>
          <w:szCs w:val="28"/>
          <w:highlight w:val="none"/>
          <w:u w:color="000000"/>
        </w:rPr>
        <w:t>二、评价单元划分</w:t>
      </w:r>
    </w:p>
    <w:p w14:paraId="7FA71B1E">
      <w:pPr>
        <w:keepNext w:val="0"/>
        <w:keepLines w:val="0"/>
        <w:pageBreakBefore w:val="0"/>
        <w:widowControl w:val="0"/>
        <w:kinsoku/>
        <w:bidi w:val="0"/>
        <w:snapToGrid w:val="0"/>
        <w:spacing w:line="360" w:lineRule="auto"/>
        <w:ind w:firstLine="560" w:firstLineChars="200"/>
        <w:textAlignment w:val="center"/>
        <w:rPr>
          <w:rFonts w:hint="eastAsia" w:ascii="宋体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</w:pPr>
      <w:r>
        <w:rPr>
          <w:rFonts w:hint="eastAsia" w:ascii="宋体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根据《危险化学品经营单位安全评价导则》的要求，并结合</w:t>
      </w:r>
      <w:r>
        <w:rPr>
          <w:rFonts w:hint="eastAsia" w:ascii="宋体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  <w:lang w:val="en-US" w:eastAsia="zh-CN"/>
        </w:rPr>
        <w:t>项目</w:t>
      </w:r>
      <w:r>
        <w:rPr>
          <w:rFonts w:hint="eastAsia" w:ascii="宋体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实际情况，具体划分为四个评价单元，即：</w:t>
      </w:r>
    </w:p>
    <w:p w14:paraId="3B119EB5">
      <w:pPr>
        <w:keepNext w:val="0"/>
        <w:keepLines w:val="0"/>
        <w:pageBreakBefore w:val="0"/>
        <w:widowControl w:val="0"/>
        <w:kinsoku/>
        <w:bidi w:val="0"/>
        <w:snapToGrid w:val="0"/>
        <w:spacing w:line="360" w:lineRule="auto"/>
        <w:ind w:firstLine="560" w:firstLineChars="200"/>
        <w:textAlignment w:val="center"/>
        <w:rPr>
          <w:rFonts w:hint="eastAsia" w:ascii="宋体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  <w:lang w:val="en-US" w:eastAsia="zh-CN"/>
        </w:rPr>
      </w:pPr>
      <w:r>
        <w:rPr>
          <w:rFonts w:hint="eastAsia" w:ascii="宋体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  <w:lang w:val="en-US" w:eastAsia="zh-CN"/>
        </w:rPr>
        <w:t>a）安全管理；              c）储存条件；</w:t>
      </w:r>
    </w:p>
    <w:p w14:paraId="227E944A">
      <w:pPr>
        <w:keepNext w:val="0"/>
        <w:keepLines w:val="0"/>
        <w:pageBreakBefore w:val="0"/>
        <w:widowControl w:val="0"/>
        <w:kinsoku/>
        <w:bidi w:val="0"/>
        <w:snapToGrid w:val="0"/>
        <w:spacing w:line="360" w:lineRule="auto"/>
        <w:ind w:firstLine="560" w:firstLineChars="200"/>
        <w:textAlignment w:val="center"/>
        <w:rPr>
          <w:rFonts w:ascii="宋体" w:hAnsi="Times New Roman" w:eastAsia="宋体" w:cs="Times New Roman"/>
          <w:color w:val="000000"/>
          <w:spacing w:val="10"/>
          <w:kern w:val="0"/>
          <w:sz w:val="28"/>
          <w:szCs w:val="28"/>
          <w:highlight w:val="none"/>
          <w:u w:color="000000"/>
        </w:rPr>
      </w:pPr>
      <w:r>
        <w:rPr>
          <w:rFonts w:hint="eastAsia" w:ascii="宋体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  <w:lang w:val="en-US" w:eastAsia="zh-CN"/>
        </w:rPr>
        <w:t>b）经营管理；              d）消防安全及电气设备</w:t>
      </w:r>
    </w:p>
    <w:p w14:paraId="3C2B222F">
      <w:pPr>
        <w:keepNext w:val="0"/>
        <w:keepLines w:val="0"/>
        <w:pageBreakBefore w:val="0"/>
        <w:widowControl w:val="0"/>
        <w:kinsoku/>
        <w:bidi w:val="0"/>
        <w:adjustRightInd w:val="0"/>
        <w:snapToGrid w:val="0"/>
        <w:spacing w:line="360" w:lineRule="auto"/>
        <w:ind w:right="0"/>
        <w:jc w:val="center"/>
        <w:textAlignment w:val="auto"/>
        <w:outlineLvl w:val="2"/>
        <w:rPr>
          <w:rFonts w:ascii="楷体_GB2312" w:hAnsi="Times New Roman" w:eastAsia="楷体_GB2312" w:cs="Times New Roman"/>
          <w:snapToGrid w:val="0"/>
          <w:color w:val="000000"/>
          <w:kern w:val="0"/>
          <w:sz w:val="28"/>
          <w:szCs w:val="32"/>
          <w:highlight w:val="none"/>
          <w:u w:color="000000"/>
          <w:lang w:val="en-US" w:eastAsia="zh-CN" w:bidi="ar-SA"/>
        </w:rPr>
      </w:pPr>
      <w:bookmarkStart w:id="22" w:name="_Toc321761914"/>
      <w:bookmarkStart w:id="23" w:name="_Toc17295"/>
      <w:r>
        <w:rPr>
          <w:rFonts w:hint="eastAsia" w:ascii="楷体_GB2312" w:hAnsi="Arial" w:eastAsia="楷体_GB2312" w:cs="Times New Roman"/>
          <w:b/>
          <w:snapToGrid w:val="0"/>
          <w:color w:val="000000"/>
          <w:kern w:val="0"/>
          <w:sz w:val="32"/>
          <w:szCs w:val="32"/>
          <w:highlight w:val="none"/>
          <w:u w:color="000000"/>
          <w:lang w:val="en-US" w:eastAsia="zh-CN" w:bidi="ar-SA"/>
        </w:rPr>
        <w:t>第二节 评价方法选择</w:t>
      </w:r>
      <w:bookmarkEnd w:id="22"/>
      <w:bookmarkEnd w:id="23"/>
    </w:p>
    <w:p w14:paraId="137A4D34">
      <w:pPr>
        <w:keepNext w:val="0"/>
        <w:keepLines w:val="0"/>
        <w:pageBreakBefore w:val="0"/>
        <w:widowControl w:val="0"/>
        <w:kinsoku/>
        <w:bidi w:val="0"/>
        <w:snapToGrid w:val="0"/>
        <w:spacing w:line="360" w:lineRule="auto"/>
        <w:ind w:firstLine="560" w:firstLineChars="200"/>
        <w:textAlignment w:val="baseline"/>
        <w:rPr>
          <w:rFonts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</w:pPr>
      <w:r>
        <w:rPr>
          <w:rFonts w:hint="eastAsia"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根据该</w:t>
      </w:r>
      <w:r>
        <w:rPr>
          <w:rFonts w:hint="eastAsia"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  <w:lang w:val="en-US" w:eastAsia="zh-CN"/>
        </w:rPr>
        <w:t>项目</w:t>
      </w:r>
      <w:r>
        <w:rPr>
          <w:rFonts w:hint="eastAsia"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的物质特性和设备、设施等危险有害因素分析情况，确定本次安全评价采用安全检查表评价方法进行定性、定量评价。</w:t>
      </w:r>
    </w:p>
    <w:p w14:paraId="6B0A9BD1">
      <w:pPr>
        <w:keepNext w:val="0"/>
        <w:keepLines w:val="0"/>
        <w:pageBreakBefore w:val="0"/>
        <w:widowControl w:val="0"/>
        <w:kinsoku/>
        <w:bidi w:val="0"/>
        <w:adjustRightInd w:val="0"/>
        <w:snapToGrid w:val="0"/>
        <w:spacing w:line="360" w:lineRule="auto"/>
        <w:ind w:firstLine="560" w:firstLineChars="200"/>
        <w:textAlignment w:val="baseline"/>
        <w:rPr>
          <w:rFonts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</w:pPr>
      <w:r>
        <w:rPr>
          <w:rFonts w:hint="eastAsia"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各评价单元所选用的评价方法情况见表4-1。</w:t>
      </w:r>
    </w:p>
    <w:p w14:paraId="3AB7E535">
      <w:pPr>
        <w:keepNext w:val="0"/>
        <w:keepLines w:val="0"/>
        <w:pageBreakBefore w:val="0"/>
        <w:widowControl w:val="0"/>
        <w:kinsoku/>
        <w:bidi w:val="0"/>
        <w:adjustRightInd w:val="0"/>
        <w:snapToGrid w:val="0"/>
        <w:spacing w:line="360" w:lineRule="auto"/>
        <w:jc w:val="center"/>
        <w:textAlignment w:val="baseline"/>
        <w:rPr>
          <w:rFonts w:ascii="黑体" w:hAnsi="黑体" w:eastAsia="黑体" w:cs="Times New Roman"/>
          <w:b/>
          <w:snapToGrid w:val="0"/>
          <w:color w:val="000000"/>
          <w:sz w:val="24"/>
          <w:szCs w:val="28"/>
          <w:highlight w:val="none"/>
          <w:u w:color="000000"/>
          <w:lang w:val="en-US" w:eastAsia="zh-CN" w:bidi="ar-SA"/>
        </w:rPr>
      </w:pPr>
      <w:r>
        <w:rPr>
          <w:rFonts w:hint="eastAsia" w:ascii="黑体" w:hAnsi="黑体" w:eastAsia="黑体" w:cs="Times New Roman"/>
          <w:b/>
          <w:snapToGrid w:val="0"/>
          <w:color w:val="000000"/>
          <w:sz w:val="24"/>
          <w:szCs w:val="28"/>
          <w:highlight w:val="none"/>
          <w:u w:color="000000"/>
          <w:lang w:val="en-US" w:eastAsia="zh-CN" w:bidi="ar-SA"/>
        </w:rPr>
        <w:t>表4-1  评价单元与选用评价方法对应表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2560"/>
        <w:gridCol w:w="5158"/>
      </w:tblGrid>
      <w:tr w14:paraId="4DA25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160" w:type="dxa"/>
            <w:vAlign w:val="center"/>
          </w:tcPr>
          <w:p w14:paraId="447C5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/>
                <w:color w:val="000000"/>
                <w:kern w:val="0"/>
                <w:szCs w:val="20"/>
                <w:highlight w:val="none"/>
                <w:u w:color="000000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0"/>
                <w:highlight w:val="none"/>
                <w:u w:color="000000"/>
              </w:rPr>
              <w:t>序号</w:t>
            </w:r>
          </w:p>
        </w:tc>
        <w:tc>
          <w:tcPr>
            <w:tcW w:w="2560" w:type="dxa"/>
            <w:vAlign w:val="center"/>
          </w:tcPr>
          <w:p w14:paraId="5E871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/>
                <w:color w:val="000000"/>
                <w:kern w:val="0"/>
                <w:szCs w:val="20"/>
                <w:highlight w:val="none"/>
                <w:u w:color="000000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0"/>
                <w:highlight w:val="none"/>
                <w:u w:color="000000"/>
              </w:rPr>
              <w:t>评价单元名称</w:t>
            </w:r>
          </w:p>
        </w:tc>
        <w:tc>
          <w:tcPr>
            <w:tcW w:w="5158" w:type="dxa"/>
            <w:vAlign w:val="center"/>
          </w:tcPr>
          <w:p w14:paraId="4CC2B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/>
                <w:color w:val="000000"/>
                <w:kern w:val="0"/>
                <w:szCs w:val="20"/>
                <w:highlight w:val="none"/>
                <w:u w:color="000000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0"/>
                <w:highlight w:val="none"/>
                <w:u w:color="000000"/>
              </w:rPr>
              <w:t>采用的评价方法</w:t>
            </w:r>
          </w:p>
        </w:tc>
      </w:tr>
      <w:tr w14:paraId="40DBC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160" w:type="dxa"/>
            <w:vAlign w:val="center"/>
          </w:tcPr>
          <w:p w14:paraId="7B99F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  <w:t>1</w:t>
            </w:r>
          </w:p>
        </w:tc>
        <w:tc>
          <w:tcPr>
            <w:tcW w:w="2560" w:type="dxa"/>
            <w:vAlign w:val="center"/>
          </w:tcPr>
          <w:p w14:paraId="5377F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Times New Roman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default" w:ascii="宋体" w:hAnsi="Times New Roman" w:eastAsia="宋体" w:cs="Times New Roman"/>
                <w:color w:val="000000"/>
                <w:spacing w:val="10"/>
                <w:kern w:val="0"/>
                <w:szCs w:val="21"/>
                <w:highlight w:val="none"/>
                <w:u w:color="000000"/>
              </w:rPr>
              <w:t>安全管理</w:t>
            </w:r>
          </w:p>
        </w:tc>
        <w:tc>
          <w:tcPr>
            <w:tcW w:w="5158" w:type="dxa"/>
            <w:vAlign w:val="center"/>
          </w:tcPr>
          <w:p w14:paraId="13FD7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  <w:t>安全检查表</w:t>
            </w:r>
          </w:p>
        </w:tc>
      </w:tr>
      <w:tr w14:paraId="5EB28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160" w:type="dxa"/>
            <w:vAlign w:val="center"/>
          </w:tcPr>
          <w:p w14:paraId="4B7F7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  <w:t>2</w:t>
            </w:r>
          </w:p>
        </w:tc>
        <w:tc>
          <w:tcPr>
            <w:tcW w:w="2560" w:type="dxa"/>
            <w:vAlign w:val="center"/>
          </w:tcPr>
          <w:p w14:paraId="43E0E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Times New Roman" w:eastAsia="宋体" w:cs="Times New Roman"/>
                <w:color w:val="000000"/>
                <w:spacing w:val="10"/>
                <w:kern w:val="0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pacing w:val="10"/>
                <w:kern w:val="0"/>
                <w:szCs w:val="21"/>
                <w:highlight w:val="none"/>
                <w:u w:color="000000"/>
                <w:lang w:val="en-US" w:eastAsia="zh-CN"/>
              </w:rPr>
              <w:t>储存条件</w:t>
            </w:r>
          </w:p>
        </w:tc>
        <w:tc>
          <w:tcPr>
            <w:tcW w:w="5158" w:type="dxa"/>
            <w:vAlign w:val="center"/>
          </w:tcPr>
          <w:p w14:paraId="320E4A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u w:color="000000"/>
                <w:lang w:val="en-US" w:eastAsia="zh-CN" w:bidi="ar-SA"/>
              </w:rPr>
              <w:t>安全检查表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0"/>
                <w:u w:color="000000"/>
                <w:lang w:val="en-US" w:eastAsia="zh-CN" w:bidi="ar-SA"/>
              </w:rPr>
              <w:t>、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u w:color="000000"/>
                <w:lang w:val="en-US" w:eastAsia="zh-CN" w:bidi="ar-SA"/>
              </w:rPr>
              <w:t>预先危险性分析</w:t>
            </w:r>
          </w:p>
        </w:tc>
      </w:tr>
      <w:tr w14:paraId="4810B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160" w:type="dxa"/>
            <w:vAlign w:val="center"/>
          </w:tcPr>
          <w:p w14:paraId="7E2EC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  <w:t>3</w:t>
            </w:r>
          </w:p>
        </w:tc>
        <w:tc>
          <w:tcPr>
            <w:tcW w:w="2560" w:type="dxa"/>
            <w:vAlign w:val="center"/>
          </w:tcPr>
          <w:p w14:paraId="10EEE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Times New Roman" w:eastAsia="宋体" w:cs="Times New Roman"/>
                <w:color w:val="000000"/>
                <w:spacing w:val="10"/>
                <w:kern w:val="0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pacing w:val="10"/>
                <w:kern w:val="0"/>
                <w:szCs w:val="21"/>
                <w:highlight w:val="none"/>
                <w:u w:color="000000"/>
                <w:lang w:val="en-US" w:eastAsia="zh-CN"/>
              </w:rPr>
              <w:t>经营管理</w:t>
            </w:r>
          </w:p>
        </w:tc>
        <w:tc>
          <w:tcPr>
            <w:tcW w:w="5158" w:type="dxa"/>
            <w:vAlign w:val="center"/>
          </w:tcPr>
          <w:p w14:paraId="479A9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  <w:t>安全检查表</w:t>
            </w:r>
          </w:p>
        </w:tc>
      </w:tr>
      <w:tr w14:paraId="2D9D8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160" w:type="dxa"/>
            <w:vAlign w:val="center"/>
          </w:tcPr>
          <w:p w14:paraId="17E3F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  <w:t>4</w:t>
            </w:r>
          </w:p>
        </w:tc>
        <w:tc>
          <w:tcPr>
            <w:tcW w:w="2560" w:type="dxa"/>
            <w:vAlign w:val="center"/>
          </w:tcPr>
          <w:p w14:paraId="44FDF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宋体" w:hAnsi="Times New Roman" w:eastAsia="宋体" w:cs="Times New Roman"/>
                <w:color w:val="000000"/>
                <w:spacing w:val="10"/>
                <w:kern w:val="0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pacing w:val="10"/>
                <w:kern w:val="0"/>
                <w:szCs w:val="21"/>
                <w:highlight w:val="none"/>
                <w:u w:color="000000"/>
                <w:lang w:val="en-US" w:eastAsia="zh-CN"/>
              </w:rPr>
              <w:t>消防安全及电气设备</w:t>
            </w:r>
          </w:p>
        </w:tc>
        <w:tc>
          <w:tcPr>
            <w:tcW w:w="5158" w:type="dxa"/>
            <w:vAlign w:val="center"/>
          </w:tcPr>
          <w:p w14:paraId="256A5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</w:rPr>
              <w:t>安全检查表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u w:color="000000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u w:color="000000"/>
              </w:rPr>
              <w:t>预先危险性分析</w:t>
            </w:r>
          </w:p>
        </w:tc>
      </w:tr>
    </w:tbl>
    <w:p w14:paraId="18118987">
      <w:pPr>
        <w:rPr>
          <w:rFonts w:hint="eastAsia" w:ascii="Times New Roman" w:hAnsi="Times New Roman" w:eastAsia="楷体_GB2312" w:cs="Times New Roman"/>
          <w:b/>
          <w:color w:val="auto"/>
          <w:kern w:val="2"/>
          <w:sz w:val="32"/>
          <w:szCs w:val="21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color w:val="auto"/>
          <w:kern w:val="2"/>
          <w:sz w:val="32"/>
          <w:szCs w:val="21"/>
          <w:lang w:val="en-US" w:eastAsia="zh-CN" w:bidi="ar-SA"/>
        </w:rPr>
        <w:br w:type="page"/>
      </w:r>
    </w:p>
    <w:bookmarkEnd w:id="19"/>
    <w:p w14:paraId="79E35A69">
      <w:pPr>
        <w:keepNext w:val="0"/>
        <w:keepLines w:val="0"/>
        <w:pageBreakBefore w:val="0"/>
        <w:widowControl w:val="0"/>
        <w:kinsoku/>
        <w:bidi w:val="0"/>
        <w:adjustRightInd w:val="0"/>
        <w:snapToGrid w:val="0"/>
        <w:spacing w:line="360" w:lineRule="auto"/>
        <w:jc w:val="center"/>
        <w:textAlignment w:val="auto"/>
        <w:outlineLvl w:val="0"/>
        <w:rPr>
          <w:rFonts w:hint="eastAsia" w:ascii="黑体" w:hAnsi="Times New Roman" w:eastAsia="黑体" w:cs="Times New Roman"/>
          <w:b/>
          <w:snapToGrid w:val="0"/>
          <w:color w:val="000000"/>
          <w:spacing w:val="0"/>
          <w:kern w:val="0"/>
          <w:sz w:val="32"/>
          <w:szCs w:val="32"/>
          <w:highlight w:val="none"/>
          <w:u w:color="000000"/>
          <w:lang w:val="en-US" w:eastAsia="zh-CN" w:bidi="ar-SA"/>
        </w:rPr>
      </w:pPr>
      <w:bookmarkStart w:id="24" w:name="_Toc10545"/>
      <w:r>
        <w:rPr>
          <w:rFonts w:hint="eastAsia" w:ascii="黑体" w:hAnsi="Times New Roman" w:eastAsia="黑体" w:cs="Times New Roman"/>
          <w:b/>
          <w:snapToGrid w:val="0"/>
          <w:color w:val="000000"/>
          <w:spacing w:val="0"/>
          <w:kern w:val="0"/>
          <w:sz w:val="32"/>
          <w:szCs w:val="32"/>
          <w:highlight w:val="none"/>
          <w:u w:color="000000"/>
          <w:lang w:val="en-US" w:eastAsia="zh-CN" w:bidi="ar-SA"/>
        </w:rPr>
        <w:t>第七章 对策措施及建议</w:t>
      </w:r>
      <w:bookmarkEnd w:id="24"/>
    </w:p>
    <w:p w14:paraId="47A6A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100" w:line="360" w:lineRule="auto"/>
        <w:ind w:right="0"/>
        <w:jc w:val="center"/>
        <w:textAlignment w:val="auto"/>
        <w:outlineLvl w:val="2"/>
        <w:rPr>
          <w:rFonts w:hint="eastAsia" w:ascii="楷体_GB2312" w:hAnsi="Times New Roman" w:eastAsia="楷体_GB2312" w:cs="Times New Roman"/>
          <w:snapToGrid w:val="0"/>
          <w:color w:val="000000"/>
          <w:kern w:val="0"/>
          <w:sz w:val="28"/>
          <w:highlight w:val="none"/>
          <w:u w:color="000000"/>
          <w:lang w:val="en-US" w:eastAsia="zh-CN" w:bidi="ar-SA"/>
        </w:rPr>
      </w:pPr>
      <w:bookmarkStart w:id="25" w:name="_Toc8451"/>
      <w:r>
        <w:rPr>
          <w:rFonts w:hint="eastAsia" w:ascii="楷体_GB2312" w:hAnsi="Arial" w:eastAsia="楷体_GB2312" w:cs="Times New Roman"/>
          <w:b/>
          <w:snapToGrid w:val="0"/>
          <w:color w:val="000000"/>
          <w:kern w:val="0"/>
          <w:sz w:val="32"/>
          <w:highlight w:val="none"/>
          <w:u w:color="000000"/>
          <w:lang w:val="en-US" w:eastAsia="zh-CN" w:bidi="ar-SA"/>
        </w:rPr>
        <w:t>第一节  存在问题及整改建议</w:t>
      </w:r>
      <w:bookmarkEnd w:id="25"/>
    </w:p>
    <w:p w14:paraId="6F9DC8E7">
      <w:pPr>
        <w:keepNext w:val="0"/>
        <w:keepLines w:val="0"/>
        <w:pageBreakBefore w:val="0"/>
        <w:widowControl w:val="0"/>
        <w:kinsoku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</w:pPr>
      <w:r>
        <w:rPr>
          <w:rFonts w:hint="eastAsia"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本次安全评价过程中，</w:t>
      </w:r>
      <w:r>
        <w:rPr>
          <w:rFonts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通过现场检查和审阅有关资料，发现</w:t>
      </w:r>
      <w:r>
        <w:rPr>
          <w:rFonts w:hint="eastAsia"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  <w:lang w:val="en-US" w:eastAsia="zh-CN"/>
        </w:rPr>
        <w:t>山东金泰山漆业有限公司</w:t>
      </w:r>
      <w:r>
        <w:rPr>
          <w:rFonts w:hint="eastAsia"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的设备设施、安全管理条件，尚有与</w:t>
      </w:r>
      <w:r>
        <w:rPr>
          <w:rFonts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有关</w:t>
      </w:r>
      <w:r>
        <w:rPr>
          <w:rFonts w:hint="eastAsia"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法规、</w:t>
      </w:r>
      <w:r>
        <w:rPr>
          <w:rFonts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规范</w:t>
      </w:r>
      <w:r>
        <w:rPr>
          <w:rFonts w:hint="eastAsia"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和标准</w:t>
      </w:r>
      <w:r>
        <w:rPr>
          <w:rFonts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的要求存在差距</w:t>
      </w:r>
      <w:r>
        <w:rPr>
          <w:rFonts w:hint="eastAsia"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之处，</w:t>
      </w:r>
      <w:r>
        <w:rPr>
          <w:rFonts w:hint="eastAsia"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  <w:lang w:val="en-US" w:eastAsia="zh-CN"/>
        </w:rPr>
        <w:t>山东金泰山漆业有限公司</w:t>
      </w:r>
      <w:r>
        <w:rPr>
          <w:rFonts w:hint="eastAsia"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应该按照有关规定、规范和标准的要求对存在的问题进行整改。存在的问题、建议整改措施</w:t>
      </w:r>
      <w:r>
        <w:rPr>
          <w:rFonts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如</w:t>
      </w:r>
      <w:r>
        <w:rPr>
          <w:rFonts w:hint="eastAsia" w:ascii="宋体" w:hAnsi="宋体" w:eastAsia="宋体" w:cs="Times New Roman"/>
          <w:snapToGrid w:val="0"/>
          <w:color w:val="000000"/>
          <w:kern w:val="0"/>
          <w:sz w:val="28"/>
          <w:szCs w:val="28"/>
          <w:highlight w:val="none"/>
          <w:u w:color="000000"/>
        </w:rPr>
        <w:t>表7-1。</w:t>
      </w:r>
    </w:p>
    <w:p w14:paraId="3AE93C34">
      <w:pPr>
        <w:keepNext w:val="0"/>
        <w:keepLines w:val="0"/>
        <w:pageBreakBefore w:val="0"/>
        <w:widowControl w:val="0"/>
        <w:kinsoku/>
        <w:bidi w:val="0"/>
        <w:adjustRightInd w:val="0"/>
        <w:snapToGrid w:val="0"/>
        <w:spacing w:line="360" w:lineRule="auto"/>
        <w:jc w:val="center"/>
        <w:textAlignment w:val="baseline"/>
        <w:rPr>
          <w:rFonts w:ascii="黑体" w:hAnsi="黑体" w:eastAsia="黑体" w:cs="Times New Roman"/>
          <w:b/>
          <w:snapToGrid w:val="0"/>
          <w:color w:val="000000"/>
          <w:sz w:val="24"/>
          <w:szCs w:val="28"/>
          <w:highlight w:val="none"/>
          <w:u w:color="000000"/>
          <w:lang w:val="en-US" w:eastAsia="zh-CN" w:bidi="ar-SA"/>
        </w:rPr>
      </w:pPr>
      <w:r>
        <w:rPr>
          <w:rFonts w:hint="eastAsia" w:ascii="黑体" w:hAnsi="黑体" w:eastAsia="黑体" w:cs="Times New Roman"/>
          <w:b/>
          <w:snapToGrid w:val="0"/>
          <w:color w:val="000000"/>
          <w:sz w:val="24"/>
          <w:szCs w:val="28"/>
          <w:highlight w:val="none"/>
          <w:u w:color="000000"/>
          <w:lang w:val="en-US" w:eastAsia="zh-CN" w:bidi="ar-SA"/>
        </w:rPr>
        <w:t>表7-1 存在的问题及整改建议一览表</w:t>
      </w:r>
    </w:p>
    <w:tbl>
      <w:tblPr>
        <w:tblStyle w:val="9"/>
        <w:tblW w:w="4996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autofit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68"/>
        <w:gridCol w:w="3471"/>
        <w:gridCol w:w="1816"/>
        <w:gridCol w:w="3424"/>
      </w:tblGrid>
      <w:tr w14:paraId="64969CC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255" w:type="pct"/>
            <w:tcBorders>
              <w:top w:val="single" w:color="000000" w:sz="12" w:space="0"/>
            </w:tcBorders>
            <w:vAlign w:val="center"/>
          </w:tcPr>
          <w:p w14:paraId="4B6CEE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</w:rPr>
              <w:t>序号</w:t>
            </w:r>
          </w:p>
        </w:tc>
        <w:tc>
          <w:tcPr>
            <w:tcW w:w="1890" w:type="pct"/>
            <w:tcBorders>
              <w:top w:val="single" w:color="000000" w:sz="12" w:space="0"/>
            </w:tcBorders>
            <w:vAlign w:val="center"/>
          </w:tcPr>
          <w:p w14:paraId="482F34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</w:rPr>
              <w:t>存在的主要问题或隐患</w:t>
            </w:r>
          </w:p>
        </w:tc>
        <w:tc>
          <w:tcPr>
            <w:tcW w:w="989" w:type="pct"/>
            <w:tcBorders>
              <w:top w:val="single" w:color="000000" w:sz="12" w:space="0"/>
            </w:tcBorders>
            <w:vAlign w:val="center"/>
          </w:tcPr>
          <w:p w14:paraId="219AF8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依据</w:t>
            </w:r>
          </w:p>
        </w:tc>
        <w:tc>
          <w:tcPr>
            <w:tcW w:w="1864" w:type="pct"/>
            <w:tcBorders>
              <w:top w:val="single" w:color="000000" w:sz="12" w:space="0"/>
            </w:tcBorders>
            <w:vAlign w:val="center"/>
          </w:tcPr>
          <w:p w14:paraId="61DD58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highlight w:val="none"/>
                <w:u w:color="993300"/>
              </w:rPr>
              <w:t>整改建议措施</w:t>
            </w:r>
          </w:p>
        </w:tc>
      </w:tr>
      <w:tr w14:paraId="604EAC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255" w:type="pct"/>
            <w:vAlign w:val="center"/>
          </w:tcPr>
          <w:p w14:paraId="580A3A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1</w:t>
            </w:r>
          </w:p>
        </w:tc>
        <w:tc>
          <w:tcPr>
            <w:tcW w:w="1890" w:type="pct"/>
            <w:vAlign w:val="center"/>
          </w:tcPr>
          <w:p w14:paraId="148FC0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1#仓库、乙类物品棚内未设置物料分区标识线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；</w:t>
            </w:r>
          </w:p>
        </w:tc>
        <w:tc>
          <w:tcPr>
            <w:tcW w:w="989" w:type="pct"/>
            <w:vAlign w:val="center"/>
          </w:tcPr>
          <w:p w14:paraId="55B2FA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GB15603-2022</w:t>
            </w:r>
          </w:p>
          <w:p w14:paraId="6010A1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第5.1条</w:t>
            </w:r>
          </w:p>
        </w:tc>
        <w:tc>
          <w:tcPr>
            <w:tcW w:w="3465" w:type="dxa"/>
            <w:vAlign w:val="center"/>
          </w:tcPr>
          <w:p w14:paraId="6AB3C1C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1#仓库、乙类物品棚内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color="000000"/>
                <w:lang w:val="en-US" w:eastAsia="zh-CN"/>
              </w:rPr>
              <w:t>应划分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物料分区标识线；</w:t>
            </w:r>
          </w:p>
        </w:tc>
      </w:tr>
      <w:tr w14:paraId="298BD8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255" w:type="pct"/>
            <w:vAlign w:val="center"/>
          </w:tcPr>
          <w:p w14:paraId="3C12EB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2</w:t>
            </w:r>
          </w:p>
        </w:tc>
        <w:tc>
          <w:tcPr>
            <w:tcW w:w="1890" w:type="pct"/>
            <w:vAlign w:val="center"/>
          </w:tcPr>
          <w:p w14:paraId="08B396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1#仓库、乙类物品棚内缺少物料安全技术说明、安全标签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；</w:t>
            </w:r>
          </w:p>
        </w:tc>
        <w:tc>
          <w:tcPr>
            <w:tcW w:w="989" w:type="pct"/>
            <w:vAlign w:val="center"/>
          </w:tcPr>
          <w:p w14:paraId="5F3086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GB15603-2022</w:t>
            </w:r>
          </w:p>
          <w:p w14:paraId="60051E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7.4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条</w:t>
            </w:r>
          </w:p>
        </w:tc>
        <w:tc>
          <w:tcPr>
            <w:tcW w:w="3465" w:type="dxa"/>
            <w:vAlign w:val="center"/>
          </w:tcPr>
          <w:p w14:paraId="5D8453E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1#仓库、乙类物品棚内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color="000000"/>
                <w:lang w:val="en-US" w:eastAsia="zh-CN"/>
              </w:rPr>
              <w:t>应张贴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物料安全技术说明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color="000000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color="000000"/>
                <w:lang w:val="en-US" w:eastAsia="zh-CN"/>
              </w:rPr>
              <w:t>安全标签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；</w:t>
            </w:r>
          </w:p>
        </w:tc>
      </w:tr>
      <w:tr w14:paraId="2554E7B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255" w:type="pct"/>
            <w:vAlign w:val="center"/>
          </w:tcPr>
          <w:p w14:paraId="679DAA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3</w:t>
            </w:r>
          </w:p>
        </w:tc>
        <w:tc>
          <w:tcPr>
            <w:tcW w:w="1890" w:type="pct"/>
            <w:vAlign w:val="center"/>
          </w:tcPr>
          <w:p w14:paraId="37914B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1#仓库、乙类物品棚内缺少物料泄漏收容措施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；</w:t>
            </w:r>
          </w:p>
        </w:tc>
        <w:tc>
          <w:tcPr>
            <w:tcW w:w="989" w:type="pct"/>
            <w:vAlign w:val="center"/>
          </w:tcPr>
          <w:p w14:paraId="242C3E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GB50016-2014（2018年版）</w:t>
            </w:r>
          </w:p>
          <w:p w14:paraId="2DCBE1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第3.6.12条</w:t>
            </w:r>
          </w:p>
        </w:tc>
        <w:tc>
          <w:tcPr>
            <w:tcW w:w="3465" w:type="dxa"/>
            <w:vAlign w:val="center"/>
          </w:tcPr>
          <w:p w14:paraId="5ACAEB1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1#仓库、乙类物品棚内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color="000000"/>
                <w:lang w:val="en-US" w:eastAsia="zh-CN"/>
              </w:rPr>
              <w:t>应设置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物料泄漏收容措施；</w:t>
            </w:r>
          </w:p>
        </w:tc>
      </w:tr>
      <w:tr w14:paraId="606E016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255" w:type="pct"/>
            <w:vAlign w:val="center"/>
          </w:tcPr>
          <w:p w14:paraId="380A5A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4</w:t>
            </w:r>
          </w:p>
        </w:tc>
        <w:tc>
          <w:tcPr>
            <w:tcW w:w="1890" w:type="pct"/>
            <w:vAlign w:val="center"/>
          </w:tcPr>
          <w:p w14:paraId="685E7C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分装作业区域缺少安全操作规程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。</w:t>
            </w:r>
          </w:p>
        </w:tc>
        <w:tc>
          <w:tcPr>
            <w:tcW w:w="989" w:type="pct"/>
            <w:vAlign w:val="center"/>
          </w:tcPr>
          <w:p w14:paraId="6486F0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GB15603-2022</w:t>
            </w:r>
          </w:p>
          <w:p w14:paraId="63F993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12.3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条</w:t>
            </w:r>
          </w:p>
        </w:tc>
        <w:tc>
          <w:tcPr>
            <w:tcW w:w="3465" w:type="dxa"/>
            <w:vAlign w:val="center"/>
          </w:tcPr>
          <w:p w14:paraId="11D22B6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分装作业区域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color="000000"/>
                <w:lang w:val="en-US" w:eastAsia="zh-CN"/>
              </w:rPr>
              <w:t>应张贴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安全操作规程。</w:t>
            </w:r>
          </w:p>
        </w:tc>
      </w:tr>
    </w:tbl>
    <w:p w14:paraId="158E95E1">
      <w:pPr>
        <w:keepNext w:val="0"/>
        <w:keepLines w:val="0"/>
        <w:pageBreakBefore w:val="0"/>
        <w:widowControl w:val="0"/>
        <w:kinsoku/>
        <w:bidi w:val="0"/>
        <w:adjustRightInd w:val="0"/>
        <w:snapToGrid w:val="0"/>
        <w:spacing w:line="360" w:lineRule="auto"/>
        <w:jc w:val="center"/>
        <w:textAlignment w:val="baseline"/>
        <w:rPr>
          <w:rFonts w:hint="eastAsia" w:ascii="黑体" w:hAnsi="黑体" w:eastAsia="黑体" w:cs="Times New Roman"/>
          <w:b/>
          <w:snapToGrid w:val="0"/>
          <w:color w:val="000000"/>
          <w:sz w:val="24"/>
          <w:szCs w:val="28"/>
          <w:highlight w:val="none"/>
          <w:u w:color="000000"/>
          <w:lang w:val="en-US" w:eastAsia="zh-CN" w:bidi="ar-SA"/>
        </w:rPr>
      </w:pPr>
      <w:r>
        <w:rPr>
          <w:rFonts w:hint="eastAsia" w:ascii="黑体" w:hAnsi="黑体" w:eastAsia="黑体" w:cs="Times New Roman"/>
          <w:b/>
          <w:snapToGrid w:val="0"/>
          <w:color w:val="000000"/>
          <w:sz w:val="24"/>
          <w:szCs w:val="28"/>
          <w:highlight w:val="none"/>
          <w:u w:color="000000"/>
          <w:lang w:val="en-US" w:eastAsia="zh-CN" w:bidi="ar-SA"/>
        </w:rPr>
        <w:t>表7-2  存在的问题及整改复查情况一览表</w:t>
      </w:r>
    </w:p>
    <w:tbl>
      <w:tblPr>
        <w:tblStyle w:val="9"/>
        <w:tblW w:w="4996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autofit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896"/>
        <w:gridCol w:w="3044"/>
        <w:gridCol w:w="3595"/>
        <w:gridCol w:w="1644"/>
      </w:tblGrid>
      <w:tr w14:paraId="3858167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88" w:type="pct"/>
            <w:noWrap w:val="0"/>
            <w:vAlign w:val="center"/>
          </w:tcPr>
          <w:p w14:paraId="5EFAF07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57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/>
                <w:snapToGrid w:val="0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eastAsia" w:ascii="宋体" w:hAnsi="宋体" w:eastAsia="宋体" w:cs="Times New Roman"/>
                <w:b/>
                <w:snapToGrid w:val="0"/>
                <w:color w:val="000000"/>
                <w:kern w:val="0"/>
                <w:szCs w:val="21"/>
                <w:highlight w:val="none"/>
                <w:u w:color="000000"/>
              </w:rPr>
              <w:t>序号</w:t>
            </w:r>
          </w:p>
        </w:tc>
        <w:tc>
          <w:tcPr>
            <w:tcW w:w="1658" w:type="pct"/>
            <w:noWrap w:val="0"/>
            <w:vAlign w:val="center"/>
          </w:tcPr>
          <w:p w14:paraId="6B9906D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57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/>
                <w:snapToGrid w:val="0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eastAsia" w:ascii="宋体" w:hAnsi="宋体" w:eastAsia="宋体" w:cs="Times New Roman"/>
                <w:b/>
                <w:snapToGrid w:val="0"/>
                <w:color w:val="000000"/>
                <w:kern w:val="0"/>
                <w:szCs w:val="21"/>
                <w:highlight w:val="none"/>
                <w:u w:color="000000"/>
              </w:rPr>
              <w:t>存在的主要问题或隐患</w:t>
            </w:r>
          </w:p>
        </w:tc>
        <w:tc>
          <w:tcPr>
            <w:tcW w:w="1958" w:type="pct"/>
            <w:noWrap w:val="0"/>
            <w:vAlign w:val="center"/>
          </w:tcPr>
          <w:p w14:paraId="774A440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57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/>
                <w:snapToGrid w:val="0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eastAsia" w:ascii="宋体" w:hAnsi="宋体" w:eastAsia="宋体" w:cs="Times New Roman"/>
                <w:b/>
                <w:snapToGrid w:val="0"/>
                <w:color w:val="000000"/>
                <w:kern w:val="0"/>
                <w:szCs w:val="21"/>
                <w:highlight w:val="none"/>
                <w:u w:val="none" w:color="993300"/>
              </w:rPr>
              <w:t>整改复查情况</w:t>
            </w:r>
          </w:p>
        </w:tc>
        <w:tc>
          <w:tcPr>
            <w:tcW w:w="895" w:type="pct"/>
            <w:noWrap w:val="0"/>
            <w:vAlign w:val="center"/>
          </w:tcPr>
          <w:p w14:paraId="3C76EF6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57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b/>
                <w:snapToGrid w:val="0"/>
                <w:color w:val="000000"/>
                <w:kern w:val="0"/>
                <w:szCs w:val="21"/>
                <w:highlight w:val="none"/>
                <w:u w:val="none" w:color="993300"/>
              </w:rPr>
            </w:pPr>
            <w:r>
              <w:rPr>
                <w:rFonts w:hint="eastAsia" w:ascii="宋体" w:hAnsi="宋体" w:eastAsia="宋体" w:cs="Times New Roman"/>
                <w:b/>
                <w:snapToGrid w:val="0"/>
                <w:color w:val="000000"/>
                <w:kern w:val="0"/>
                <w:szCs w:val="21"/>
                <w:highlight w:val="none"/>
                <w:u w:val="none" w:color="993300"/>
              </w:rPr>
              <w:t>结论</w:t>
            </w:r>
          </w:p>
        </w:tc>
      </w:tr>
      <w:tr w14:paraId="0D6E80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88" w:type="pct"/>
            <w:noWrap w:val="0"/>
            <w:vAlign w:val="center"/>
          </w:tcPr>
          <w:p w14:paraId="58BA07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eastAsia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1</w:t>
            </w:r>
          </w:p>
        </w:tc>
        <w:tc>
          <w:tcPr>
            <w:tcW w:w="3081" w:type="dxa"/>
            <w:noWrap w:val="0"/>
            <w:vAlign w:val="center"/>
          </w:tcPr>
          <w:p w14:paraId="09343E2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1#仓库、乙类物品棚内未设置物料分区标识线；</w:t>
            </w:r>
          </w:p>
        </w:tc>
        <w:tc>
          <w:tcPr>
            <w:tcW w:w="3638" w:type="dxa"/>
            <w:noWrap w:val="0"/>
            <w:vAlign w:val="center"/>
          </w:tcPr>
          <w:p w14:paraId="69693B5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val="none" w:color="993300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1#仓库、乙类物品棚内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color="000000"/>
                <w:lang w:val="en-US" w:eastAsia="zh-CN"/>
              </w:rPr>
              <w:t>已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划分物料分区标识线；</w:t>
            </w:r>
          </w:p>
        </w:tc>
        <w:tc>
          <w:tcPr>
            <w:tcW w:w="895" w:type="pct"/>
            <w:noWrap w:val="0"/>
            <w:vAlign w:val="center"/>
          </w:tcPr>
          <w:p w14:paraId="7F028C4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57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color="000000"/>
                <w:lang w:val="en-US" w:eastAsia="zh-CN"/>
              </w:rPr>
              <w:t>符合</w:t>
            </w:r>
          </w:p>
        </w:tc>
      </w:tr>
      <w:tr w14:paraId="2583D9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88" w:type="pct"/>
            <w:noWrap w:val="0"/>
            <w:vAlign w:val="center"/>
          </w:tcPr>
          <w:p w14:paraId="27D6E5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2</w:t>
            </w:r>
          </w:p>
        </w:tc>
        <w:tc>
          <w:tcPr>
            <w:tcW w:w="3081" w:type="dxa"/>
            <w:noWrap w:val="0"/>
            <w:vAlign w:val="center"/>
          </w:tcPr>
          <w:p w14:paraId="7782F1C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1#仓库、乙类物品棚内缺少物料安全技术说明、安全标签；</w:t>
            </w:r>
          </w:p>
        </w:tc>
        <w:tc>
          <w:tcPr>
            <w:tcW w:w="3638" w:type="dxa"/>
            <w:noWrap w:val="0"/>
            <w:vAlign w:val="center"/>
          </w:tcPr>
          <w:p w14:paraId="65C0DC5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val="none" w:color="993300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1#仓库、乙类物品棚内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color="000000"/>
                <w:lang w:val="en-US" w:eastAsia="zh-CN"/>
              </w:rPr>
              <w:t>已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张贴物料安全技术说明、安全标签；</w:t>
            </w:r>
          </w:p>
        </w:tc>
        <w:tc>
          <w:tcPr>
            <w:tcW w:w="895" w:type="pct"/>
            <w:noWrap w:val="0"/>
            <w:vAlign w:val="center"/>
          </w:tcPr>
          <w:p w14:paraId="27E98D9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57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color="000000"/>
                <w:lang w:val="en-US" w:eastAsia="zh-CN"/>
              </w:rPr>
              <w:t>符合</w:t>
            </w:r>
          </w:p>
        </w:tc>
      </w:tr>
      <w:tr w14:paraId="6667CC6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88" w:type="pct"/>
            <w:noWrap w:val="0"/>
            <w:vAlign w:val="center"/>
          </w:tcPr>
          <w:p w14:paraId="530C5C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3</w:t>
            </w:r>
          </w:p>
        </w:tc>
        <w:tc>
          <w:tcPr>
            <w:tcW w:w="3081" w:type="dxa"/>
            <w:noWrap w:val="0"/>
            <w:vAlign w:val="center"/>
          </w:tcPr>
          <w:p w14:paraId="0272EFD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1#仓库、乙类物品棚内缺少物料泄漏收容措施；</w:t>
            </w:r>
          </w:p>
        </w:tc>
        <w:tc>
          <w:tcPr>
            <w:tcW w:w="3638" w:type="dxa"/>
            <w:noWrap w:val="0"/>
            <w:vAlign w:val="center"/>
          </w:tcPr>
          <w:p w14:paraId="6099F95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val="none" w:color="993300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1#仓库、乙类物品棚内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color="000000"/>
                <w:lang w:val="en-US" w:eastAsia="zh-CN"/>
              </w:rPr>
              <w:t>已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设置物料泄漏收容措施；</w:t>
            </w:r>
          </w:p>
        </w:tc>
        <w:tc>
          <w:tcPr>
            <w:tcW w:w="895" w:type="pct"/>
            <w:noWrap w:val="0"/>
            <w:vAlign w:val="center"/>
          </w:tcPr>
          <w:p w14:paraId="564B249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57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color="000000"/>
                <w:lang w:val="en-US" w:eastAsia="zh-CN"/>
              </w:rPr>
              <w:t>符合</w:t>
            </w:r>
          </w:p>
        </w:tc>
      </w:tr>
      <w:tr w14:paraId="4572151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488" w:type="pct"/>
            <w:noWrap w:val="0"/>
            <w:vAlign w:val="center"/>
          </w:tcPr>
          <w:p w14:paraId="763F19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baseline"/>
              <w:rPr>
                <w:rFonts w:hint="default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u w:color="000000"/>
                <w:lang w:val="en-US" w:eastAsia="zh-CN"/>
              </w:rPr>
              <w:t>4</w:t>
            </w:r>
          </w:p>
        </w:tc>
        <w:tc>
          <w:tcPr>
            <w:tcW w:w="3081" w:type="dxa"/>
            <w:noWrap w:val="0"/>
            <w:vAlign w:val="center"/>
          </w:tcPr>
          <w:p w14:paraId="083575E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color="000000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分装作业区域缺少安全操作规程。</w:t>
            </w:r>
          </w:p>
        </w:tc>
        <w:tc>
          <w:tcPr>
            <w:tcW w:w="3638" w:type="dxa"/>
            <w:noWrap w:val="0"/>
            <w:vAlign w:val="center"/>
          </w:tcPr>
          <w:p w14:paraId="00BAA9E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val="none" w:color="993300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分装作业区域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color="000000"/>
                <w:lang w:val="en-US" w:eastAsia="zh-CN"/>
              </w:rPr>
              <w:t>已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color="000000"/>
              </w:rPr>
              <w:t>张贴安全操作规程。</w:t>
            </w:r>
          </w:p>
        </w:tc>
        <w:tc>
          <w:tcPr>
            <w:tcW w:w="895" w:type="pct"/>
            <w:noWrap w:val="0"/>
            <w:vAlign w:val="center"/>
          </w:tcPr>
          <w:p w14:paraId="522B8C6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57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color="00000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color w:val="000000"/>
                <w:kern w:val="0"/>
                <w:szCs w:val="21"/>
                <w:highlight w:val="none"/>
                <w:u w:color="000000"/>
                <w:lang w:val="en-US" w:eastAsia="zh-CN"/>
              </w:rPr>
              <w:t>符合</w:t>
            </w:r>
          </w:p>
        </w:tc>
      </w:tr>
    </w:tbl>
    <w:p w14:paraId="2089D190">
      <w:pPr>
        <w:pStyle w:val="7"/>
        <w:rPr>
          <w:rFonts w:hint="default"/>
          <w:lang w:val="en-US" w:eastAsia="zh-CN"/>
        </w:rPr>
      </w:pPr>
    </w:p>
    <w:p w14:paraId="62C49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Times New Roman" w:hAnsi="Times New Roman" w:eastAsia="宋体" w:cs="Times New Roman"/>
          <w:lang w:eastAsia="zh-CN"/>
        </w:rPr>
      </w:pPr>
    </w:p>
    <w:p w14:paraId="0C481F63">
      <w:pPr>
        <w:pStyle w:val="7"/>
        <w:rPr>
          <w:rFonts w:hint="default"/>
          <w:lang w:val="en-US" w:eastAsia="zh-CN"/>
        </w:rPr>
      </w:pPr>
    </w:p>
    <w:p w14:paraId="15B151DE">
      <w:pPr>
        <w:pStyle w:val="7"/>
        <w:rPr>
          <w:rFonts w:hint="default"/>
          <w:lang w:val="en-US" w:eastAsia="zh-CN"/>
        </w:rPr>
      </w:pPr>
    </w:p>
    <w:p w14:paraId="7600F68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firstLine="0" w:firstLineChars="0"/>
        <w:textAlignment w:val="baseline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006850" cy="3687445"/>
            <wp:effectExtent l="0" t="0" r="8255" b="12700"/>
            <wp:docPr id="15" name="图片 15" descr="4043b3d00280426da17316dd1fe1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043b3d00280426da17316dd1fe16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06850" cy="368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4474845" cy="3355975"/>
            <wp:effectExtent l="0" t="0" r="15875" b="1905"/>
            <wp:docPr id="16" name="图片 16" descr="d46e3170446e6d752a32a97787cf0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46e3170446e6d752a32a97787cf07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74845" cy="335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4493895" cy="4325620"/>
            <wp:effectExtent l="0" t="0" r="17780" b="1905"/>
            <wp:docPr id="17" name="图片 17" descr="90fc343757732baad01f8b00e440d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90fc343757732baad01f8b00e440d1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93895" cy="432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3349625" cy="3229610"/>
            <wp:effectExtent l="0" t="0" r="8890" b="3175"/>
            <wp:docPr id="18" name="图片 18" descr="b7688f4f1894e7cfd0d0b76e838cf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b7688f4f1894e7cfd0d0b76e838cf6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49625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3944620" cy="2959100"/>
            <wp:effectExtent l="0" t="0" r="12700" b="17780"/>
            <wp:docPr id="19" name="图片 19" descr="89df379a10e89c1c31f154e18adab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89df379a10e89c1c31f154e18adabb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4462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4023995" cy="3018155"/>
            <wp:effectExtent l="0" t="0" r="10795" b="14605"/>
            <wp:docPr id="20" name="图片 20" descr="b52063a03b00553449a568a5df18a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b52063a03b00553449a568a5df18a9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23995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462915</wp:posOffset>
            </wp:positionH>
            <wp:positionV relativeFrom="paragraph">
              <wp:posOffset>3970655</wp:posOffset>
            </wp:positionV>
            <wp:extent cx="4199890" cy="4705985"/>
            <wp:effectExtent l="0" t="0" r="18415" b="10160"/>
            <wp:wrapTight wrapText="bothSides">
              <wp:wrapPolygon>
                <wp:start x="3" y="21600"/>
                <wp:lineTo x="21460" y="21600"/>
                <wp:lineTo x="21460" y="90"/>
                <wp:lineTo x="3" y="90"/>
                <wp:lineTo x="3" y="21600"/>
              </wp:wrapPolygon>
            </wp:wrapTight>
            <wp:docPr id="22" name="图片 22" descr="eb212828598f197f3d7d428a74b6a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eb212828598f197f3d7d428a74b6a3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99890" cy="4705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3916680" cy="4218940"/>
            <wp:effectExtent l="0" t="0" r="10160" b="7620"/>
            <wp:docPr id="21" name="图片 21" descr="cec2d96104c14dd624ff61c1739f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ec2d96104c14dd624ff61c1739f67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16680" cy="421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680960" cy="5760720"/>
            <wp:effectExtent l="0" t="0" r="11430" b="15240"/>
            <wp:docPr id="23" name="图片 23" descr="25339ee9c2039dc5512f0d433b39f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25339ee9c2039dc5512f0d433b39fc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8096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1417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hMTU5MjYzZjVmNGM5NzEyODNmNDZmYjBlYjY4YWIifQ=="/>
  </w:docVars>
  <w:rsids>
    <w:rsidRoot w:val="00172A27"/>
    <w:rsid w:val="029513F2"/>
    <w:rsid w:val="039504BE"/>
    <w:rsid w:val="03CC63D7"/>
    <w:rsid w:val="0668139A"/>
    <w:rsid w:val="09D516AE"/>
    <w:rsid w:val="09D5345C"/>
    <w:rsid w:val="0A27015B"/>
    <w:rsid w:val="0BD51C61"/>
    <w:rsid w:val="0EDC1223"/>
    <w:rsid w:val="0F135152"/>
    <w:rsid w:val="109224BA"/>
    <w:rsid w:val="13D12EE6"/>
    <w:rsid w:val="153C4810"/>
    <w:rsid w:val="16BC1C2B"/>
    <w:rsid w:val="18895139"/>
    <w:rsid w:val="19E82D37"/>
    <w:rsid w:val="1B766F52"/>
    <w:rsid w:val="1D772B32"/>
    <w:rsid w:val="1E1E483E"/>
    <w:rsid w:val="1E6037E4"/>
    <w:rsid w:val="1ECE699F"/>
    <w:rsid w:val="22CB7136"/>
    <w:rsid w:val="239C706C"/>
    <w:rsid w:val="25C46CDA"/>
    <w:rsid w:val="284F788D"/>
    <w:rsid w:val="2A9D36CA"/>
    <w:rsid w:val="2B5C0F73"/>
    <w:rsid w:val="2CDF446E"/>
    <w:rsid w:val="2EC41433"/>
    <w:rsid w:val="314F1BC2"/>
    <w:rsid w:val="31B33160"/>
    <w:rsid w:val="34897199"/>
    <w:rsid w:val="34D32B0A"/>
    <w:rsid w:val="355F439E"/>
    <w:rsid w:val="35CC29B8"/>
    <w:rsid w:val="38F15A12"/>
    <w:rsid w:val="39D72754"/>
    <w:rsid w:val="3AD24FC7"/>
    <w:rsid w:val="3BB85D78"/>
    <w:rsid w:val="3FEA0D08"/>
    <w:rsid w:val="420C1409"/>
    <w:rsid w:val="42B4482C"/>
    <w:rsid w:val="442B6778"/>
    <w:rsid w:val="4706325F"/>
    <w:rsid w:val="48FA1FBB"/>
    <w:rsid w:val="48FE4AE5"/>
    <w:rsid w:val="495431DD"/>
    <w:rsid w:val="4C8875DC"/>
    <w:rsid w:val="4CAB56ED"/>
    <w:rsid w:val="4F3C76E4"/>
    <w:rsid w:val="4FD01CC8"/>
    <w:rsid w:val="501F4C50"/>
    <w:rsid w:val="537B63EF"/>
    <w:rsid w:val="537F016A"/>
    <w:rsid w:val="563D798B"/>
    <w:rsid w:val="567C6788"/>
    <w:rsid w:val="57996267"/>
    <w:rsid w:val="579A241E"/>
    <w:rsid w:val="5A640B0E"/>
    <w:rsid w:val="60193E6F"/>
    <w:rsid w:val="60660241"/>
    <w:rsid w:val="624F1172"/>
    <w:rsid w:val="629062F1"/>
    <w:rsid w:val="6314629E"/>
    <w:rsid w:val="634C3B4B"/>
    <w:rsid w:val="63A159FD"/>
    <w:rsid w:val="64FC15ED"/>
    <w:rsid w:val="68A06711"/>
    <w:rsid w:val="6A035285"/>
    <w:rsid w:val="6AD40467"/>
    <w:rsid w:val="6B60619E"/>
    <w:rsid w:val="6BF95CAB"/>
    <w:rsid w:val="6D0669CA"/>
    <w:rsid w:val="70AB545C"/>
    <w:rsid w:val="717A11AE"/>
    <w:rsid w:val="72FD2CFB"/>
    <w:rsid w:val="7772596D"/>
    <w:rsid w:val="77F53EE5"/>
    <w:rsid w:val="7AB02F22"/>
    <w:rsid w:val="7C3F3BAE"/>
    <w:rsid w:val="7C773348"/>
    <w:rsid w:val="7D3B25C7"/>
    <w:rsid w:val="7D7D613E"/>
    <w:rsid w:val="7F5D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3"/>
    <w:basedOn w:val="1"/>
    <w:next w:val="1"/>
    <w:unhideWhenUsed/>
    <w:qFormat/>
    <w:uiPriority w:val="0"/>
    <w:pPr>
      <w:keepNext/>
      <w:widowControl w:val="0"/>
      <w:spacing w:beforeLines="0" w:afterLines="0" w:line="400" w:lineRule="exact"/>
      <w:ind w:right="10"/>
      <w:jc w:val="center"/>
      <w:textAlignment w:val="auto"/>
      <w:outlineLvl w:val="2"/>
    </w:pPr>
    <w:rPr>
      <w:rFonts w:hint="eastAsia" w:ascii="仿宋_GB2312" w:eastAsia="仿宋_GB2312"/>
      <w:color w:val="auto"/>
      <w:kern w:val="2"/>
      <w:sz w:val="28"/>
      <w:szCs w:val="2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spacing w:beforeLines="0" w:afterLines="0"/>
      <w:ind w:firstLine="420"/>
    </w:pPr>
    <w:rPr>
      <w:rFonts w:hint="eastAsia"/>
      <w:sz w:val="24"/>
      <w:szCs w:val="28"/>
    </w:rPr>
  </w:style>
  <w:style w:type="paragraph" w:styleId="3">
    <w:name w:val="Body Text Indent"/>
    <w:basedOn w:val="1"/>
    <w:next w:val="4"/>
    <w:unhideWhenUsed/>
    <w:qFormat/>
    <w:uiPriority w:val="0"/>
    <w:pPr>
      <w:spacing w:beforeLines="0" w:afterLines="0" w:line="360" w:lineRule="auto"/>
      <w:ind w:firstLine="520" w:firstLineChars="200"/>
    </w:pPr>
    <w:rPr>
      <w:rFonts w:hint="eastAsia" w:ascii="宋体" w:hAnsi="宋体"/>
      <w:spacing w:val="10"/>
      <w:sz w:val="24"/>
      <w:szCs w:val="28"/>
    </w:rPr>
  </w:style>
  <w:style w:type="paragraph" w:customStyle="1" w:styleId="4">
    <w:name w:val="样式 正文文本缩进 + 行距: 1.5 倍行距"/>
    <w:basedOn w:val="1"/>
    <w:unhideWhenUsed/>
    <w:qFormat/>
    <w:uiPriority w:val="0"/>
    <w:pPr>
      <w:spacing w:beforeLines="0" w:after="120" w:afterLines="0" w:line="360" w:lineRule="auto"/>
      <w:ind w:left="90" w:leftChars="32" w:firstLine="560"/>
    </w:pPr>
    <w:rPr>
      <w:rFonts w:hint="default"/>
      <w:sz w:val="21"/>
      <w:szCs w:val="24"/>
    </w:rPr>
  </w:style>
  <w:style w:type="paragraph" w:styleId="6">
    <w:name w:val="Normal Indent"/>
    <w:basedOn w:val="1"/>
    <w:qFormat/>
    <w:uiPriority w:val="99"/>
    <w:pPr>
      <w:ind w:firstLine="420"/>
    </w:pPr>
  </w:style>
  <w:style w:type="paragraph" w:styleId="7">
    <w:name w:val="Body Text"/>
    <w:basedOn w:val="1"/>
    <w:qFormat/>
    <w:uiPriority w:val="99"/>
    <w:pPr>
      <w:widowControl/>
      <w:spacing w:line="520" w:lineRule="exact"/>
      <w:ind w:firstLine="200" w:firstLineChars="200"/>
      <w:textAlignment w:val="baseline"/>
    </w:pPr>
    <w:rPr>
      <w:rFonts w:ascii="宋体" w:hAnsi="宋体"/>
      <w:color w:val="000000"/>
      <w:spacing w:val="10"/>
      <w:kern w:val="0"/>
      <w:sz w:val="24"/>
      <w:szCs w:val="24"/>
      <w:u w:color="000000"/>
    </w:rPr>
  </w:style>
  <w:style w:type="paragraph" w:styleId="8">
    <w:name w:val="Plain Text"/>
    <w:basedOn w:val="1"/>
    <w:unhideWhenUsed/>
    <w:qFormat/>
    <w:uiPriority w:val="99"/>
    <w:rPr>
      <w:rFonts w:ascii="宋体" w:hAnsi="Courier New"/>
      <w:kern w:val="0"/>
      <w:sz w:val="20"/>
      <w:szCs w:val="20"/>
    </w:rPr>
  </w:style>
  <w:style w:type="character" w:styleId="11">
    <w:name w:val="annotation reference"/>
    <w:qFormat/>
    <w:uiPriority w:val="99"/>
    <w:rPr>
      <w:sz w:val="21"/>
      <w:szCs w:val="21"/>
    </w:rPr>
  </w:style>
  <w:style w:type="paragraph" w:customStyle="1" w:styleId="12">
    <w:name w:val="111"/>
    <w:basedOn w:val="13"/>
    <w:qFormat/>
    <w:uiPriority w:val="0"/>
    <w:pPr>
      <w:widowControl/>
      <w:spacing w:beforeAutospacing="0" w:afterAutospacing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题目"/>
    <w:basedOn w:val="1"/>
    <w:qFormat/>
    <w:uiPriority w:val="0"/>
    <w:pPr>
      <w:jc w:val="center"/>
      <w:outlineLvl w:val="0"/>
    </w:pPr>
    <w:rPr>
      <w:rFonts w:ascii="黑体" w:hAnsi="黑体" w:eastAsia="黑体"/>
      <w:sz w:val="32"/>
      <w:szCs w:val="32"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6评价正文"/>
    <w:qFormat/>
    <w:uiPriority w:val="0"/>
    <w:pPr>
      <w:spacing w:line="520" w:lineRule="exact"/>
      <w:ind w:firstLine="200" w:firstLineChars="200"/>
      <w:jc w:val="both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7">
    <w:name w:val="1评价标题"/>
    <w:qFormat/>
    <w:uiPriority w:val="0"/>
    <w:pPr>
      <w:pageBreakBefore/>
      <w:spacing w:before="100" w:beforeLines="100" w:after="100" w:afterLines="100" w:line="520" w:lineRule="exact"/>
      <w:jc w:val="center"/>
      <w:outlineLvl w:val="0"/>
    </w:pPr>
    <w:rPr>
      <w:rFonts w:ascii="Times New Roman" w:hAnsi="Times New Roman" w:eastAsia="黑体" w:cs="Times New Roman"/>
      <w:kern w:val="2"/>
      <w:sz w:val="32"/>
      <w:szCs w:val="21"/>
      <w:lang w:val="en-US" w:eastAsia="zh-CN" w:bidi="ar-SA"/>
    </w:rPr>
  </w:style>
  <w:style w:type="paragraph" w:customStyle="1" w:styleId="18">
    <w:name w:val="5标题评价表格"/>
    <w:qFormat/>
    <w:uiPriority w:val="0"/>
    <w:pPr>
      <w:spacing w:line="520" w:lineRule="exact"/>
      <w:jc w:val="center"/>
      <w:outlineLvl w:val="4"/>
    </w:pPr>
    <w:rPr>
      <w:rFonts w:ascii="Times New Roman" w:hAnsi="Times New Roman" w:eastAsia="黑体" w:cs="Times New Roman"/>
      <w:kern w:val="2"/>
      <w:sz w:val="24"/>
      <w:szCs w:val="28"/>
      <w:u w:color="000000"/>
      <w:lang w:val="en-US" w:eastAsia="zh-CN" w:bidi="ar-SA"/>
    </w:rPr>
  </w:style>
  <w:style w:type="paragraph" w:customStyle="1" w:styleId="19">
    <w:name w:val="5内容评价表格"/>
    <w:qFormat/>
    <w:uiPriority w:val="0"/>
    <w:pPr>
      <w:spacing w:line="300" w:lineRule="exact"/>
      <w:jc w:val="center"/>
    </w:pPr>
    <w:rPr>
      <w:rFonts w:ascii="Times New Roman" w:hAnsi="Times New Roman" w:eastAsia="宋体" w:cs="Times New Roman"/>
      <w:kern w:val="2"/>
      <w:sz w:val="21"/>
      <w:szCs w:val="21"/>
      <w:u w:color="000000"/>
      <w:lang w:val="en-US" w:eastAsia="zh-CN" w:bidi="ar-SA"/>
    </w:rPr>
  </w:style>
  <w:style w:type="paragraph" w:customStyle="1" w:styleId="20">
    <w:name w:val="7评价备注"/>
    <w:qFormat/>
    <w:uiPriority w:val="0"/>
    <w:pPr>
      <w:spacing w:line="400" w:lineRule="exact"/>
      <w:ind w:firstLine="200" w:firstLineChars="200"/>
    </w:pPr>
    <w:rPr>
      <w:rFonts w:ascii="Times New Roman" w:hAnsi="Times New Roman" w:eastAsia="黑体" w:cs="Times New Roman"/>
      <w:spacing w:val="4"/>
      <w:kern w:val="2"/>
      <w:sz w:val="21"/>
      <w:szCs w:val="24"/>
      <w:lang w:val="en-US" w:eastAsia="zh-CN" w:bidi="ar-SA"/>
    </w:rPr>
  </w:style>
  <w:style w:type="paragraph" w:customStyle="1" w:styleId="21">
    <w:name w:val="3评价标题"/>
    <w:qFormat/>
    <w:uiPriority w:val="0"/>
    <w:pPr>
      <w:spacing w:line="520" w:lineRule="exact"/>
      <w:ind w:firstLine="200" w:firstLineChars="200"/>
      <w:outlineLvl w:val="2"/>
    </w:pPr>
    <w:rPr>
      <w:rFonts w:ascii="Times New Roman" w:hAnsi="Times New Roman" w:eastAsia="黑体" w:cs="Times New Roman"/>
      <w:sz w:val="28"/>
      <w:u w:color="000000"/>
      <w:lang w:val="en-US" w:eastAsia="zh-CN" w:bidi="ar-SA"/>
    </w:rPr>
  </w:style>
  <w:style w:type="paragraph" w:customStyle="1" w:styleId="22">
    <w:name w:val="表内文字"/>
    <w:basedOn w:val="8"/>
    <w:qFormat/>
    <w:uiPriority w:val="0"/>
    <w:pPr>
      <w:spacing w:line="320" w:lineRule="exact"/>
      <w:jc w:val="center"/>
    </w:pPr>
    <w:rPr>
      <w:rFonts w:ascii="Times New Roman" w:hAnsi="Times New Roman"/>
      <w:kern w:val="2"/>
      <w:sz w:val="21"/>
      <w:szCs w:val="21"/>
      <w:u w:color="000000"/>
    </w:rPr>
  </w:style>
  <w:style w:type="character" w:customStyle="1" w:styleId="23">
    <w:name w:val="标题 2 Char"/>
    <w:unhideWhenUsed/>
    <w:qFormat/>
    <w:uiPriority w:val="0"/>
    <w:rPr>
      <w:rFonts w:hint="default" w:ascii="Arial" w:hAnsi="Arial" w:eastAsia="黑体"/>
      <w:b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2517</Words>
  <Characters>2789</Characters>
  <Lines>0</Lines>
  <Paragraphs>0</Paragraphs>
  <TotalTime>0</TotalTime>
  <ScaleCrop>false</ScaleCrop>
  <LinksUpToDate>false</LinksUpToDate>
  <CharactersWithSpaces>2836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2023-09-27T02:48:00Z</dcterms:created>
  <dc:creator>天舞</dc:creator>
  <cp:lastModifiedBy>孙虎</cp:lastModifiedBy>
  <dcterms:modified xsi:type="dcterms:W3CDTF">2026-05-24T08:48:59Z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158E41C4130D45F7BB2A42425FB8946B_11</vt:lpwstr>
  </property>
  <property fmtid="{D5CDD505-2E9C-101B-9397-08002B2CF9AE}" pid="4" name="KSOTemplateDocerSaveRecord">
    <vt:lpwstr>eyJoZGlkIjoiMDdkMDE1ZDAyY2I3YTI4NDk5OGRhZGJkNTYxNWViMTMiLCJ1c2VySWQiOiIxNTA4ODg5MTM0In0=</vt:lpwstr>
  </property>
</Properties>
</file>