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E4014D">
      <w:pPr>
        <w:jc w:val="center"/>
        <w:rPr>
          <w:rFonts w:hint="eastAsia" w:ascii="黑体" w:hAnsi="黑体" w:eastAsia="黑体" w:cs="黑体"/>
          <w:sz w:val="28"/>
          <w:szCs w:val="28"/>
        </w:rPr>
      </w:pPr>
      <w:r>
        <w:rPr>
          <w:rFonts w:hint="eastAsia" w:ascii="黑体" w:hAnsi="黑体" w:eastAsia="黑体" w:cs="黑体"/>
          <w:sz w:val="28"/>
          <w:szCs w:val="28"/>
        </w:rPr>
        <w:t>安全评价项目信息表</w:t>
      </w:r>
    </w:p>
    <w:p w14:paraId="520393D2">
      <w:pPr>
        <w:rPr>
          <w:rFonts w:hint="eastAsia"/>
          <w:sz w:val="21"/>
          <w:szCs w:val="21"/>
          <w:lang w:val="en-US" w:eastAsia="zh-CN"/>
        </w:rPr>
      </w:pPr>
      <w:r>
        <w:rPr>
          <w:rFonts w:hint="eastAsia"/>
          <w:sz w:val="21"/>
          <w:szCs w:val="21"/>
          <w:lang w:val="en-US" w:eastAsia="zh-CN"/>
        </w:rPr>
        <w:t>项目编号：</w:t>
      </w:r>
    </w:p>
    <w:tbl>
      <w:tblPr>
        <w:tblStyle w:val="5"/>
        <w:tblW w:w="5000"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68" w:type="dxa"/>
          <w:left w:w="108" w:type="dxa"/>
          <w:bottom w:w="68" w:type="dxa"/>
          <w:right w:w="108" w:type="dxa"/>
        </w:tblCellMar>
      </w:tblPr>
      <w:tblGrid>
        <w:gridCol w:w="1832"/>
        <w:gridCol w:w="2188"/>
        <w:gridCol w:w="2350"/>
        <w:gridCol w:w="2918"/>
      </w:tblGrid>
      <w:tr w14:paraId="226AAF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AA60D14">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项目名称</w:t>
            </w:r>
          </w:p>
        </w:tc>
        <w:tc>
          <w:tcPr>
            <w:tcW w:w="7456" w:type="dxa"/>
            <w:gridSpan w:val="3"/>
            <w:tcBorders>
              <w:tl2br w:val="nil"/>
              <w:tr2bl w:val="nil"/>
            </w:tcBorders>
            <w:shd w:val="clear" w:color="auto" w:fill="auto"/>
            <w:vAlign w:val="center"/>
          </w:tcPr>
          <w:p w14:paraId="23C1E735">
            <w:pPr>
              <w:autoSpaceDE w:val="0"/>
              <w:autoSpaceDN w:val="0"/>
              <w:adjustRightInd w:val="0"/>
              <w:snapToGrid w:val="0"/>
              <w:spacing w:line="240" w:lineRule="auto"/>
              <w:ind w:firstLine="0" w:firstLineChars="0"/>
              <w:jc w:val="center"/>
              <w:rPr>
                <w:rFonts w:hint="default" w:ascii="宋体" w:hAnsi="宋体" w:eastAsia="宋体" w:cs="宋体"/>
                <w:b w:val="0"/>
                <w:bCs w:val="0"/>
                <w:color w:val="auto"/>
                <w:kern w:val="0"/>
                <w:sz w:val="21"/>
                <w:szCs w:val="21"/>
                <w:highlight w:val="none"/>
                <w:lang w:val="en-US"/>
              </w:rPr>
            </w:pPr>
            <w:r>
              <w:rPr>
                <w:rFonts w:hint="eastAsia" w:ascii="宋体" w:hAnsi="宋体" w:eastAsia="宋体" w:cs="宋体"/>
                <w:b w:val="0"/>
                <w:bCs w:val="0"/>
                <w:color w:val="auto"/>
                <w:kern w:val="0"/>
                <w:sz w:val="21"/>
                <w:szCs w:val="21"/>
                <w:highlight w:val="none"/>
                <w:lang w:val="en-US" w:eastAsia="zh-CN" w:bidi="ar-SA"/>
              </w:rPr>
              <w:t>山东漆谷新材料有限公司储存经营危险化学品安全评价报告</w:t>
            </w:r>
          </w:p>
        </w:tc>
      </w:tr>
      <w:tr w14:paraId="446D3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451" w:hRule="atLeast"/>
          <w:jc w:val="center"/>
        </w:trPr>
        <w:tc>
          <w:tcPr>
            <w:tcW w:w="1832" w:type="dxa"/>
            <w:tcBorders>
              <w:tl2br w:val="nil"/>
              <w:tr2bl w:val="nil"/>
            </w:tcBorders>
            <w:shd w:val="clear" w:color="auto" w:fill="auto"/>
            <w:vAlign w:val="center"/>
          </w:tcPr>
          <w:p w14:paraId="37F19601">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项目简介</w:t>
            </w:r>
          </w:p>
        </w:tc>
        <w:tc>
          <w:tcPr>
            <w:tcW w:w="7456" w:type="dxa"/>
            <w:gridSpan w:val="3"/>
            <w:tcBorders>
              <w:tl2br w:val="nil"/>
              <w:tr2bl w:val="nil"/>
            </w:tcBorders>
            <w:shd w:val="clear" w:color="auto" w:fill="auto"/>
            <w:noWrap/>
            <w:vAlign w:val="center"/>
          </w:tcPr>
          <w:p w14:paraId="36CB646D">
            <w:pPr>
              <w:adjustRightInd w:val="0"/>
              <w:snapToGrid w:val="0"/>
              <w:spacing w:line="240" w:lineRule="auto"/>
              <w:rPr>
                <w:rFonts w:hint="eastAsia" w:ascii="宋体" w:hAnsi="宋体"/>
                <w:sz w:val="20"/>
                <w:szCs w:val="24"/>
                <w:lang w:val="en-US" w:eastAsia="zh-CN"/>
              </w:rPr>
            </w:pPr>
            <w:r>
              <w:rPr>
                <w:rFonts w:hint="eastAsia" w:ascii="宋体" w:hAnsi="宋体"/>
                <w:sz w:val="20"/>
                <w:szCs w:val="24"/>
                <w:lang w:val="en-US" w:eastAsia="zh-CN"/>
              </w:rPr>
              <w:t>山东漆谷新材料有限公司注册地址位于山东省泰安市岱岳区天平街道泰山青春创业园机电路南侧山东仕全兴新材料有限公司办公楼一楼103室，成立于2016年10月28日，企业类型为其他有限责任公司，注册资本伍佰万元整，法定代表人为吴浩。公司东侧为泰安山水建业混凝土有限公司、鲁工建筑机械租赁有限公司；西侧为泰安市舜嘉木业有限公司；南侧为G341、泰安北控环境能源开发有限公司；北侧为园区道路、山东阳光伴侣太阳能有限公司。</w:t>
            </w:r>
          </w:p>
          <w:p w14:paraId="17E4DF29">
            <w:pPr>
              <w:adjustRightInd w:val="0"/>
              <w:snapToGrid w:val="0"/>
              <w:spacing w:line="240" w:lineRule="auto"/>
              <w:rPr>
                <w:rFonts w:hint="eastAsia" w:ascii="宋体" w:hAnsi="宋体" w:eastAsia="宋体" w:cs="宋体"/>
                <w:b w:val="0"/>
                <w:bCs w:val="0"/>
                <w:color w:val="auto"/>
                <w:kern w:val="0"/>
                <w:sz w:val="21"/>
                <w:szCs w:val="21"/>
                <w:highlight w:val="none"/>
              </w:rPr>
            </w:pPr>
            <w:r>
              <w:rPr>
                <w:rFonts w:hint="eastAsia" w:ascii="宋体" w:hAnsi="宋体"/>
                <w:sz w:val="20"/>
                <w:szCs w:val="24"/>
                <w:lang w:val="en-US" w:eastAsia="zh-CN"/>
              </w:rPr>
              <w:t>山东漆谷新材料有限公司租赁的成品仓库（480m</w:t>
            </w:r>
            <w:r>
              <w:rPr>
                <w:rFonts w:hint="eastAsia" w:ascii="宋体" w:hAnsi="宋体"/>
                <w:sz w:val="20"/>
                <w:szCs w:val="24"/>
                <w:vertAlign w:val="superscript"/>
                <w:lang w:val="en-US" w:eastAsia="zh-CN"/>
              </w:rPr>
              <w:t>2</w:t>
            </w:r>
            <w:r>
              <w:rPr>
                <w:rFonts w:hint="eastAsia" w:ascii="宋体" w:hAnsi="宋体"/>
                <w:sz w:val="20"/>
                <w:szCs w:val="24"/>
                <w:lang w:val="en-US" w:eastAsia="zh-CN"/>
              </w:rPr>
              <w:t>的单层乙类仓库）储存经营溶剂型聚氨酯木器涂料，最大储存量60t，经营溶剂型聚氨酯木器涂料的运入、运出主要靠有资质的汽车运输。</w:t>
            </w:r>
          </w:p>
        </w:tc>
      </w:tr>
      <w:tr w14:paraId="386E1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129491F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评价人员</w:t>
            </w:r>
          </w:p>
        </w:tc>
        <w:tc>
          <w:tcPr>
            <w:tcW w:w="4538" w:type="dxa"/>
            <w:gridSpan w:val="2"/>
            <w:tcBorders>
              <w:tl2br w:val="nil"/>
              <w:tr2bl w:val="nil"/>
            </w:tcBorders>
            <w:shd w:val="clear" w:color="auto" w:fill="auto"/>
            <w:noWrap/>
            <w:vAlign w:val="center"/>
          </w:tcPr>
          <w:p w14:paraId="391B6C3E">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姓  名</w:t>
            </w:r>
          </w:p>
        </w:tc>
        <w:tc>
          <w:tcPr>
            <w:tcW w:w="2918" w:type="dxa"/>
            <w:tcBorders>
              <w:tl2br w:val="nil"/>
              <w:tr2bl w:val="nil"/>
            </w:tcBorders>
            <w:shd w:val="clear" w:color="auto" w:fill="auto"/>
            <w:noWrap/>
            <w:vAlign w:val="center"/>
          </w:tcPr>
          <w:p w14:paraId="487C3787">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备注</w:t>
            </w:r>
          </w:p>
        </w:tc>
      </w:tr>
      <w:tr w14:paraId="29A00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0986F64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项目负责人</w:t>
            </w:r>
          </w:p>
        </w:tc>
        <w:tc>
          <w:tcPr>
            <w:tcW w:w="4538" w:type="dxa"/>
            <w:gridSpan w:val="2"/>
            <w:tcBorders>
              <w:tl2br w:val="nil"/>
              <w:tr2bl w:val="nil"/>
            </w:tcBorders>
            <w:shd w:val="clear" w:color="auto" w:fill="auto"/>
            <w:noWrap/>
            <w:vAlign w:val="center"/>
          </w:tcPr>
          <w:p w14:paraId="206EB6F9">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马琳琳</w:t>
            </w:r>
          </w:p>
        </w:tc>
        <w:tc>
          <w:tcPr>
            <w:tcW w:w="2918" w:type="dxa"/>
            <w:tcBorders>
              <w:tl2br w:val="nil"/>
              <w:tr2bl w:val="nil"/>
            </w:tcBorders>
            <w:shd w:val="clear" w:color="auto" w:fill="auto"/>
            <w:noWrap/>
            <w:vAlign w:val="center"/>
          </w:tcPr>
          <w:p w14:paraId="789D2163">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25ECFC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7087994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项目组成员</w:t>
            </w:r>
          </w:p>
        </w:tc>
        <w:tc>
          <w:tcPr>
            <w:tcW w:w="4538" w:type="dxa"/>
            <w:gridSpan w:val="2"/>
            <w:tcBorders>
              <w:tl2br w:val="nil"/>
              <w:tr2bl w:val="nil"/>
            </w:tcBorders>
            <w:shd w:val="clear" w:color="auto" w:fill="auto"/>
            <w:noWrap/>
            <w:vAlign w:val="center"/>
          </w:tcPr>
          <w:p w14:paraId="466DF95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刘卫国</w:t>
            </w:r>
          </w:p>
        </w:tc>
        <w:tc>
          <w:tcPr>
            <w:tcW w:w="2918" w:type="dxa"/>
            <w:tcBorders>
              <w:tl2br w:val="nil"/>
              <w:tr2bl w:val="nil"/>
            </w:tcBorders>
            <w:shd w:val="clear" w:color="auto" w:fill="auto"/>
            <w:noWrap/>
            <w:vAlign w:val="center"/>
          </w:tcPr>
          <w:p w14:paraId="6436048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2BDA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0A4B220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73B183EC">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辛磊</w:t>
            </w:r>
          </w:p>
        </w:tc>
        <w:tc>
          <w:tcPr>
            <w:tcW w:w="2918" w:type="dxa"/>
            <w:tcBorders>
              <w:tl2br w:val="nil"/>
              <w:tr2bl w:val="nil"/>
            </w:tcBorders>
            <w:shd w:val="clear" w:color="auto" w:fill="auto"/>
            <w:noWrap/>
            <w:vAlign w:val="center"/>
          </w:tcPr>
          <w:p w14:paraId="7E294D1E">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40DB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692870CC">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DF3DF9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赵云峰</w:t>
            </w:r>
          </w:p>
        </w:tc>
        <w:tc>
          <w:tcPr>
            <w:tcW w:w="2918" w:type="dxa"/>
            <w:tcBorders>
              <w:tl2br w:val="nil"/>
              <w:tr2bl w:val="nil"/>
            </w:tcBorders>
            <w:shd w:val="clear" w:color="auto" w:fill="auto"/>
            <w:noWrap/>
            <w:vAlign w:val="center"/>
          </w:tcPr>
          <w:p w14:paraId="535D964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106A5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04E1B31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3A2636F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王静</w:t>
            </w:r>
          </w:p>
        </w:tc>
        <w:tc>
          <w:tcPr>
            <w:tcW w:w="2918" w:type="dxa"/>
            <w:tcBorders>
              <w:tl2br w:val="nil"/>
              <w:tr2bl w:val="nil"/>
            </w:tcBorders>
            <w:shd w:val="clear" w:color="auto" w:fill="auto"/>
            <w:noWrap/>
            <w:vAlign w:val="center"/>
          </w:tcPr>
          <w:p w14:paraId="45A6B17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C132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1E4DD2C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报告编制人</w:t>
            </w:r>
          </w:p>
        </w:tc>
        <w:tc>
          <w:tcPr>
            <w:tcW w:w="4538" w:type="dxa"/>
            <w:gridSpan w:val="2"/>
            <w:tcBorders>
              <w:tl2br w:val="nil"/>
              <w:tr2bl w:val="nil"/>
            </w:tcBorders>
            <w:shd w:val="clear" w:color="auto" w:fill="auto"/>
            <w:noWrap/>
            <w:vAlign w:val="center"/>
          </w:tcPr>
          <w:p w14:paraId="193045B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马琳琳</w:t>
            </w:r>
          </w:p>
        </w:tc>
        <w:tc>
          <w:tcPr>
            <w:tcW w:w="2918" w:type="dxa"/>
            <w:tcBorders>
              <w:tl2br w:val="nil"/>
              <w:tr2bl w:val="nil"/>
            </w:tcBorders>
            <w:shd w:val="clear" w:color="auto" w:fill="auto"/>
            <w:noWrap/>
            <w:vAlign w:val="center"/>
          </w:tcPr>
          <w:p w14:paraId="448A0E4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CF0C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3FCA80E7">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报告审核人</w:t>
            </w:r>
          </w:p>
        </w:tc>
        <w:tc>
          <w:tcPr>
            <w:tcW w:w="4538" w:type="dxa"/>
            <w:gridSpan w:val="2"/>
            <w:tcBorders>
              <w:tl2br w:val="nil"/>
              <w:tr2bl w:val="nil"/>
            </w:tcBorders>
            <w:shd w:val="clear" w:color="auto" w:fill="auto"/>
            <w:noWrap/>
            <w:vAlign w:val="center"/>
          </w:tcPr>
          <w:p w14:paraId="3F87A0C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en-US"/>
              </w:rPr>
            </w:pPr>
            <w:r>
              <w:rPr>
                <w:rFonts w:hint="eastAsia" w:ascii="宋体" w:hAnsi="宋体" w:eastAsia="宋体" w:cs="宋体"/>
                <w:color w:val="auto"/>
                <w:kern w:val="0"/>
                <w:sz w:val="21"/>
                <w:szCs w:val="21"/>
                <w:highlight w:val="none"/>
                <w:lang w:val="en-US" w:eastAsia="zh-CN"/>
              </w:rPr>
              <w:t>赵燕</w:t>
            </w:r>
          </w:p>
        </w:tc>
        <w:tc>
          <w:tcPr>
            <w:tcW w:w="2918" w:type="dxa"/>
            <w:tcBorders>
              <w:tl2br w:val="nil"/>
              <w:tr2bl w:val="nil"/>
            </w:tcBorders>
            <w:shd w:val="clear" w:color="auto" w:fill="auto"/>
            <w:noWrap/>
            <w:vAlign w:val="center"/>
          </w:tcPr>
          <w:p w14:paraId="76845E79">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0417B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23FDC7D5">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过程控制负责人</w:t>
            </w:r>
          </w:p>
        </w:tc>
        <w:tc>
          <w:tcPr>
            <w:tcW w:w="4538" w:type="dxa"/>
            <w:gridSpan w:val="2"/>
            <w:tcBorders>
              <w:tl2br w:val="nil"/>
              <w:tr2bl w:val="nil"/>
            </w:tcBorders>
            <w:shd w:val="clear" w:color="auto" w:fill="auto"/>
            <w:noWrap/>
            <w:vAlign w:val="center"/>
          </w:tcPr>
          <w:p w14:paraId="6FCD161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刘云红</w:t>
            </w:r>
          </w:p>
        </w:tc>
        <w:tc>
          <w:tcPr>
            <w:tcW w:w="2918" w:type="dxa"/>
            <w:tcBorders>
              <w:tl2br w:val="nil"/>
              <w:tr2bl w:val="nil"/>
            </w:tcBorders>
            <w:shd w:val="clear" w:color="auto" w:fill="auto"/>
            <w:noWrap/>
            <w:vAlign w:val="center"/>
          </w:tcPr>
          <w:p w14:paraId="7A61A545">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2F1AC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tcBorders>
              <w:tl2br w:val="nil"/>
              <w:tr2bl w:val="nil"/>
            </w:tcBorders>
            <w:shd w:val="clear" w:color="auto" w:fill="auto"/>
            <w:vAlign w:val="center"/>
          </w:tcPr>
          <w:p w14:paraId="1731861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技术负责人</w:t>
            </w:r>
          </w:p>
        </w:tc>
        <w:tc>
          <w:tcPr>
            <w:tcW w:w="4538" w:type="dxa"/>
            <w:gridSpan w:val="2"/>
            <w:tcBorders>
              <w:tl2br w:val="nil"/>
              <w:tr2bl w:val="nil"/>
            </w:tcBorders>
            <w:shd w:val="clear" w:color="auto" w:fill="auto"/>
            <w:noWrap/>
            <w:vAlign w:val="center"/>
          </w:tcPr>
          <w:p w14:paraId="64838A4E">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孙虎</w:t>
            </w:r>
          </w:p>
        </w:tc>
        <w:tc>
          <w:tcPr>
            <w:tcW w:w="2918" w:type="dxa"/>
            <w:tcBorders>
              <w:tl2br w:val="nil"/>
              <w:tr2bl w:val="nil"/>
            </w:tcBorders>
            <w:shd w:val="clear" w:color="auto" w:fill="auto"/>
            <w:noWrap/>
            <w:vAlign w:val="center"/>
          </w:tcPr>
          <w:p w14:paraId="22EEC4AE">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1A83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6307DA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技术专家</w:t>
            </w:r>
          </w:p>
          <w:p w14:paraId="2918FAB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或有关技术人员</w:t>
            </w:r>
          </w:p>
        </w:tc>
        <w:tc>
          <w:tcPr>
            <w:tcW w:w="4538" w:type="dxa"/>
            <w:gridSpan w:val="2"/>
            <w:tcBorders>
              <w:tl2br w:val="nil"/>
              <w:tr2bl w:val="nil"/>
            </w:tcBorders>
            <w:shd w:val="clear" w:color="auto" w:fill="auto"/>
            <w:noWrap/>
            <w:vAlign w:val="center"/>
          </w:tcPr>
          <w:p w14:paraId="4AA99373">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41AC5313">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77CB9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7D927DB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706C392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15B7C5D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8A97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6AE7514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7A7D06E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1CF196B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4C97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6D9F206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38" w:type="dxa"/>
            <w:gridSpan w:val="2"/>
            <w:tcBorders>
              <w:tl2br w:val="nil"/>
              <w:tr2bl w:val="nil"/>
            </w:tcBorders>
            <w:shd w:val="clear" w:color="auto" w:fill="auto"/>
            <w:noWrap/>
            <w:vAlign w:val="center"/>
          </w:tcPr>
          <w:p w14:paraId="0A2695A5">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18" w:type="dxa"/>
            <w:tcBorders>
              <w:tl2br w:val="nil"/>
              <w:tr2bl w:val="nil"/>
            </w:tcBorders>
            <w:shd w:val="clear" w:color="auto" w:fill="auto"/>
            <w:noWrap/>
            <w:vAlign w:val="center"/>
          </w:tcPr>
          <w:p w14:paraId="20D10FF6">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DA1B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restart"/>
            <w:tcBorders>
              <w:tl2br w:val="nil"/>
              <w:tr2bl w:val="nil"/>
            </w:tcBorders>
            <w:shd w:val="clear" w:color="auto" w:fill="auto"/>
            <w:vAlign w:val="center"/>
          </w:tcPr>
          <w:p w14:paraId="72F981B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到现场开展安全</w:t>
            </w:r>
          </w:p>
          <w:p w14:paraId="0E93483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评价工作情况</w:t>
            </w:r>
          </w:p>
        </w:tc>
        <w:tc>
          <w:tcPr>
            <w:tcW w:w="2188" w:type="dxa"/>
            <w:tcBorders>
              <w:tl2br w:val="nil"/>
              <w:tr2bl w:val="nil"/>
            </w:tcBorders>
            <w:shd w:val="clear" w:color="auto" w:fill="auto"/>
            <w:noWrap/>
            <w:vAlign w:val="center"/>
          </w:tcPr>
          <w:p w14:paraId="4FA2D7C9">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时  间</w:t>
            </w:r>
          </w:p>
        </w:tc>
        <w:tc>
          <w:tcPr>
            <w:tcW w:w="2350" w:type="dxa"/>
            <w:tcBorders>
              <w:tl2br w:val="nil"/>
              <w:tr2bl w:val="nil"/>
            </w:tcBorders>
            <w:shd w:val="clear" w:color="auto" w:fill="auto"/>
            <w:noWrap/>
            <w:vAlign w:val="center"/>
          </w:tcPr>
          <w:p w14:paraId="1BA855D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到现场主要人员</w:t>
            </w:r>
          </w:p>
        </w:tc>
        <w:tc>
          <w:tcPr>
            <w:tcW w:w="2918" w:type="dxa"/>
            <w:tcBorders>
              <w:tl2br w:val="nil"/>
              <w:tr2bl w:val="nil"/>
            </w:tcBorders>
            <w:shd w:val="clear" w:color="auto" w:fill="auto"/>
            <w:noWrap/>
            <w:vAlign w:val="center"/>
          </w:tcPr>
          <w:p w14:paraId="39376791">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主要任务</w:t>
            </w:r>
          </w:p>
        </w:tc>
      </w:tr>
      <w:tr w14:paraId="3F8CC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3EA64FA6">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7BC783F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2026.3.1</w:t>
            </w:r>
          </w:p>
        </w:tc>
        <w:tc>
          <w:tcPr>
            <w:tcW w:w="2350" w:type="dxa"/>
            <w:tcBorders>
              <w:tl2br w:val="nil"/>
              <w:tr2bl w:val="nil"/>
            </w:tcBorders>
            <w:shd w:val="clear" w:color="auto" w:fill="auto"/>
            <w:noWrap/>
            <w:vAlign w:val="center"/>
          </w:tcPr>
          <w:p w14:paraId="0594AA9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rPr>
              <w:t>马琳琳 辛磊</w:t>
            </w:r>
          </w:p>
        </w:tc>
        <w:tc>
          <w:tcPr>
            <w:tcW w:w="2918" w:type="dxa"/>
            <w:tcBorders>
              <w:tl2br w:val="nil"/>
              <w:tr2bl w:val="nil"/>
            </w:tcBorders>
            <w:shd w:val="clear" w:color="auto" w:fill="auto"/>
            <w:noWrap/>
            <w:vAlign w:val="center"/>
          </w:tcPr>
          <w:p w14:paraId="19B66DEE">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初访</w:t>
            </w:r>
          </w:p>
        </w:tc>
      </w:tr>
      <w:tr w14:paraId="7827D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8D3887E">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061B6E83">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2026.3.14</w:t>
            </w:r>
          </w:p>
        </w:tc>
        <w:tc>
          <w:tcPr>
            <w:tcW w:w="2350" w:type="dxa"/>
            <w:tcBorders>
              <w:tl2br w:val="nil"/>
              <w:tr2bl w:val="nil"/>
            </w:tcBorders>
            <w:shd w:val="clear" w:color="auto" w:fill="auto"/>
            <w:noWrap/>
            <w:vAlign w:val="center"/>
          </w:tcPr>
          <w:p w14:paraId="35BE14C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马琳琳 辛磊</w:t>
            </w:r>
          </w:p>
        </w:tc>
        <w:tc>
          <w:tcPr>
            <w:tcW w:w="2918" w:type="dxa"/>
            <w:tcBorders>
              <w:tl2br w:val="nil"/>
              <w:tr2bl w:val="nil"/>
            </w:tcBorders>
            <w:shd w:val="clear" w:color="auto" w:fill="auto"/>
            <w:noWrap/>
            <w:vAlign w:val="center"/>
          </w:tcPr>
          <w:p w14:paraId="0A3B5578">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现场考察</w:t>
            </w:r>
          </w:p>
        </w:tc>
      </w:tr>
      <w:tr w14:paraId="3350FC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375138F5">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4234FA9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2026.3.16</w:t>
            </w:r>
          </w:p>
        </w:tc>
        <w:tc>
          <w:tcPr>
            <w:tcW w:w="2350" w:type="dxa"/>
            <w:tcBorders>
              <w:tl2br w:val="nil"/>
              <w:tr2bl w:val="nil"/>
            </w:tcBorders>
            <w:shd w:val="clear" w:color="auto" w:fill="auto"/>
            <w:noWrap/>
            <w:vAlign w:val="center"/>
          </w:tcPr>
          <w:p w14:paraId="7FA8487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马琳琳 辛磊</w:t>
            </w:r>
          </w:p>
        </w:tc>
        <w:tc>
          <w:tcPr>
            <w:tcW w:w="2918" w:type="dxa"/>
            <w:tcBorders>
              <w:tl2br w:val="nil"/>
              <w:tr2bl w:val="nil"/>
            </w:tcBorders>
            <w:shd w:val="clear" w:color="auto" w:fill="auto"/>
            <w:noWrap/>
            <w:vAlign w:val="center"/>
          </w:tcPr>
          <w:p w14:paraId="19BAFC3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现场检查</w:t>
            </w:r>
          </w:p>
        </w:tc>
      </w:tr>
      <w:tr w14:paraId="299C43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1832" w:type="dxa"/>
            <w:vMerge w:val="continue"/>
            <w:tcBorders>
              <w:tl2br w:val="nil"/>
              <w:tr2bl w:val="nil"/>
            </w:tcBorders>
            <w:shd w:val="clear" w:color="auto" w:fill="auto"/>
            <w:vAlign w:val="center"/>
          </w:tcPr>
          <w:p w14:paraId="5F6BEE2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188" w:type="dxa"/>
            <w:tcBorders>
              <w:tl2br w:val="nil"/>
              <w:tr2bl w:val="nil"/>
            </w:tcBorders>
            <w:shd w:val="clear" w:color="auto" w:fill="auto"/>
            <w:noWrap/>
            <w:vAlign w:val="center"/>
          </w:tcPr>
          <w:p w14:paraId="13158D8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2026.3.18</w:t>
            </w:r>
          </w:p>
        </w:tc>
        <w:tc>
          <w:tcPr>
            <w:tcW w:w="2350" w:type="dxa"/>
            <w:tcBorders>
              <w:tl2br w:val="nil"/>
              <w:tr2bl w:val="nil"/>
            </w:tcBorders>
            <w:shd w:val="clear" w:color="auto" w:fill="auto"/>
            <w:noWrap/>
            <w:vAlign w:val="center"/>
          </w:tcPr>
          <w:p w14:paraId="4576D4A6">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马琳琳 辛磊</w:t>
            </w:r>
          </w:p>
        </w:tc>
        <w:tc>
          <w:tcPr>
            <w:tcW w:w="2918" w:type="dxa"/>
            <w:tcBorders>
              <w:tl2br w:val="nil"/>
              <w:tr2bl w:val="nil"/>
            </w:tcBorders>
            <w:shd w:val="clear" w:color="auto" w:fill="auto"/>
            <w:noWrap/>
            <w:vAlign w:val="center"/>
          </w:tcPr>
          <w:p w14:paraId="18BFF6AC">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现场核查</w:t>
            </w:r>
          </w:p>
        </w:tc>
      </w:tr>
      <w:tr w14:paraId="24BDDD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2522DFC5">
            <w:pPr>
              <w:autoSpaceDE w:val="0"/>
              <w:autoSpaceDN w:val="0"/>
              <w:adjustRightInd w:val="0"/>
              <w:snapToGrid w:val="0"/>
              <w:spacing w:line="240" w:lineRule="auto"/>
              <w:ind w:firstLine="0" w:firstLineChars="0"/>
              <w:jc w:val="left"/>
              <w:rPr>
                <w:rFonts w:hint="default"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rPr>
              <w:t>安全评价报告提交时间：2026.3.23</w:t>
            </w:r>
          </w:p>
        </w:tc>
      </w:tr>
      <w:tr w14:paraId="1613A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9288" w:type="dxa"/>
            <w:gridSpan w:val="4"/>
            <w:tcBorders>
              <w:tl2br w:val="nil"/>
              <w:tr2bl w:val="nil"/>
            </w:tcBorders>
            <w:shd w:val="clear" w:color="auto" w:fill="auto"/>
            <w:vAlign w:val="center"/>
          </w:tcPr>
          <w:p w14:paraId="77C41105">
            <w:pPr>
              <w:autoSpaceDE w:val="0"/>
              <w:autoSpaceDN w:val="0"/>
              <w:adjustRightInd w:val="0"/>
              <w:snapToGrid w:val="0"/>
              <w:spacing w:line="240" w:lineRule="auto"/>
              <w:ind w:firstLine="0" w:firstLineChars="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有必要公开的其它内容：</w:t>
            </w:r>
          </w:p>
        </w:tc>
      </w:tr>
    </w:tbl>
    <w:p w14:paraId="1649C3E8">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宋体" w:hAnsi="宋体" w:eastAsia="宋体" w:cs="宋体"/>
          <w:b w:val="0"/>
          <w:bCs w:val="0"/>
          <w:color w:val="auto"/>
          <w:kern w:val="0"/>
          <w:sz w:val="24"/>
          <w:szCs w:val="24"/>
          <w:highlight w:val="none"/>
          <w:lang w:val="en-US" w:eastAsia="zh-CN" w:bidi="ar-SA"/>
        </w:rPr>
      </w:pPr>
    </w:p>
    <w:p w14:paraId="7D551AFB">
      <w:pPr>
        <w:keepNext w:val="0"/>
        <w:keepLines w:val="0"/>
        <w:pageBreakBefore w:val="0"/>
        <w:widowControl w:val="0"/>
        <w:kinsoku/>
        <w:wordWrap/>
        <w:overflowPunct/>
        <w:topLinePunct w:val="0"/>
        <w:autoSpaceDE/>
        <w:autoSpaceDN/>
        <w:bidi w:val="0"/>
        <w:adjustRightInd w:val="0"/>
        <w:snapToGrid w:val="0"/>
        <w:spacing w:line="240" w:lineRule="auto"/>
        <w:jc w:val="center"/>
        <w:rPr>
          <w:rFonts w:hint="eastAsia" w:ascii="宋体" w:hAnsi="宋体" w:eastAsia="宋体" w:cs="宋体"/>
          <w:b w:val="0"/>
          <w:bCs w:val="0"/>
          <w:color w:val="auto"/>
          <w:kern w:val="0"/>
          <w:sz w:val="24"/>
          <w:szCs w:val="24"/>
          <w:highlight w:val="none"/>
          <w:lang w:val="en-US" w:eastAsia="zh-CN" w:bidi="ar-SA"/>
        </w:rPr>
      </w:pPr>
    </w:p>
    <w:p w14:paraId="4BE7AB56">
      <w:pPr>
        <w:pStyle w:val="2"/>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rPr>
          <w:rFonts w:hint="default"/>
          <w:lang w:val="en-US" w:eastAsia="zh-CN"/>
        </w:rPr>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pPr>
    </w:p>
    <w:p w14:paraId="4F2B968F">
      <w:pPr>
        <w:pStyle w:val="13"/>
        <w:widowControl w:val="0"/>
        <w:adjustRightInd w:val="0"/>
        <w:snapToGrid w:val="0"/>
        <w:spacing w:before="0" w:beforeLines="0" w:after="0" w:afterLines="0" w:line="360" w:lineRule="auto"/>
        <w:rPr>
          <w:highlight w:val="none"/>
        </w:rPr>
      </w:pPr>
      <w:bookmarkStart w:id="0" w:name="_Toc102633969"/>
      <w:bookmarkStart w:id="1" w:name="_Toc15033742"/>
      <w:bookmarkStart w:id="2" w:name="_Toc102634226"/>
      <w:bookmarkStart w:id="3" w:name="_Toc102634395"/>
      <w:bookmarkStart w:id="4" w:name="_Toc102633895"/>
      <w:r>
        <w:rPr>
          <w:highlight w:val="none"/>
        </w:rPr>
        <w:t>第二章 加油站概况</w:t>
      </w:r>
      <w:bookmarkEnd w:id="0"/>
      <w:bookmarkEnd w:id="1"/>
      <w:bookmarkEnd w:id="2"/>
      <w:bookmarkEnd w:id="3"/>
      <w:bookmarkEnd w:id="4"/>
    </w:p>
    <w:p w14:paraId="3B845CD1">
      <w:pPr>
        <w:snapToGrid w:val="0"/>
        <w:spacing w:line="360" w:lineRule="auto"/>
        <w:jc w:val="center"/>
        <w:outlineLvl w:val="1"/>
        <w:rPr>
          <w:rFonts w:ascii="Calibri" w:hAnsi="Calibri" w:eastAsia="楷体_GB2312"/>
          <w:b/>
          <w:kern w:val="0"/>
          <w:sz w:val="32"/>
          <w:szCs w:val="20"/>
          <w:highlight w:val="none"/>
        </w:rPr>
      </w:pPr>
      <w:bookmarkStart w:id="5" w:name="_Toc102634396"/>
      <w:bookmarkStart w:id="6" w:name="_Toc272364524"/>
      <w:bookmarkStart w:id="7" w:name="_Toc208733856"/>
      <w:bookmarkStart w:id="8" w:name="_Toc26504"/>
      <w:bookmarkStart w:id="9" w:name="_Toc30066"/>
      <w:bookmarkStart w:id="10" w:name="_Toc15033743"/>
      <w:bookmarkStart w:id="11" w:name="_Toc102633970"/>
      <w:bookmarkStart w:id="12" w:name="_Toc102634227"/>
      <w:bookmarkStart w:id="13" w:name="_Toc102633896"/>
      <w:r>
        <w:rPr>
          <w:rFonts w:ascii="Calibri" w:hAnsi="Calibri" w:eastAsia="楷体_GB2312"/>
          <w:b/>
          <w:kern w:val="0"/>
          <w:sz w:val="32"/>
          <w:szCs w:val="20"/>
          <w:highlight w:val="none"/>
        </w:rPr>
        <w:t>第一节 加油站基本情况</w:t>
      </w:r>
      <w:bookmarkEnd w:id="5"/>
      <w:bookmarkEnd w:id="6"/>
      <w:bookmarkEnd w:id="7"/>
      <w:bookmarkEnd w:id="8"/>
      <w:bookmarkEnd w:id="9"/>
      <w:bookmarkEnd w:id="10"/>
      <w:bookmarkEnd w:id="11"/>
      <w:bookmarkEnd w:id="12"/>
      <w:bookmarkEnd w:id="13"/>
    </w:p>
    <w:p w14:paraId="458316E7">
      <w:pPr>
        <w:keepNext w:val="0"/>
        <w:keepLines w:val="0"/>
        <w:pageBreakBefore w:val="0"/>
        <w:widowControl w:val="0"/>
        <w:kinsoku/>
        <w:bidi w:val="0"/>
        <w:adjustRightInd w:val="0"/>
        <w:snapToGrid w:val="0"/>
        <w:spacing w:line="360" w:lineRule="auto"/>
        <w:ind w:firstLine="560" w:firstLineChars="200"/>
        <w:textAlignment w:val="baseline"/>
        <w:rPr>
          <w:rFonts w:hint="default" w:ascii="宋体" w:hAnsi="宋体" w:eastAsia="宋体" w:cs="Times New Roman"/>
          <w:snapToGrid w:val="0"/>
          <w:color w:val="000000"/>
          <w:kern w:val="0"/>
          <w:sz w:val="28"/>
          <w:szCs w:val="28"/>
          <w:highlight w:val="none"/>
          <w:u w:color="000000"/>
          <w:lang w:val="en-US" w:eastAsia="zh-CN"/>
        </w:rPr>
      </w:pPr>
      <w:bookmarkStart w:id="14" w:name="_Toc102633980"/>
      <w:bookmarkStart w:id="15" w:name="_Toc102634406"/>
      <w:bookmarkStart w:id="16" w:name="_Toc102634255"/>
      <w:bookmarkStart w:id="17" w:name="_Toc102633906"/>
      <w:r>
        <w:rPr>
          <w:rFonts w:hint="eastAsia" w:ascii="宋体" w:hAnsi="宋体" w:eastAsia="宋体" w:cs="Times New Roman"/>
          <w:snapToGrid w:val="0"/>
          <w:color w:val="000000"/>
          <w:kern w:val="0"/>
          <w:sz w:val="28"/>
          <w:szCs w:val="28"/>
          <w:highlight w:val="none"/>
          <w:u w:color="000000"/>
          <w:lang w:val="en-US" w:eastAsia="zh-CN"/>
        </w:rPr>
        <w:t>山东漆谷新材料有限公司注册地址位于山东省泰安市岱岳区天平街道泰山青春创业园机电路南侧山东仕全兴新材料有限公司办公楼一楼103室，成立于2016年10月28日，企业类型为其他有限责任公司，注册资本伍佰万元整，法定代表人为吴浩。</w:t>
      </w:r>
      <w:r>
        <w:rPr>
          <w:rFonts w:hint="eastAsia" w:ascii="宋体" w:hAnsi="宋体" w:eastAsia="宋体" w:cs="Times New Roman"/>
          <w:color w:val="000000"/>
          <w:kern w:val="28"/>
          <w:sz w:val="28"/>
          <w:szCs w:val="28"/>
          <w:highlight w:val="none"/>
          <w:u w:color="000000"/>
          <w:lang w:val="en-US" w:eastAsia="zh-CN"/>
        </w:rPr>
        <w:t>公司东侧为泰安山水建业混凝土有限公司、鲁工建筑机械租赁有限公司；西侧为泰安市舜嘉木业有限公司；南侧为G341、泰安北控环境能源开发有限公司；北侧为园区道路、山东阳光伴侣太阳能有限公司</w:t>
      </w:r>
      <w:r>
        <w:rPr>
          <w:rFonts w:hint="eastAsia" w:ascii="宋体" w:hAnsi="宋体" w:eastAsia="宋体" w:cs="Times New Roman"/>
          <w:snapToGrid w:val="0"/>
          <w:color w:val="000000"/>
          <w:kern w:val="0"/>
          <w:sz w:val="28"/>
          <w:szCs w:val="28"/>
          <w:highlight w:val="none"/>
          <w:u w:color="000000"/>
          <w:lang w:val="en-US" w:eastAsia="zh-CN"/>
        </w:rPr>
        <w:t>。</w:t>
      </w:r>
    </w:p>
    <w:p w14:paraId="584CF3E9">
      <w:pPr>
        <w:keepNext w:val="0"/>
        <w:keepLines w:val="0"/>
        <w:pageBreakBefore w:val="0"/>
        <w:widowControl w:val="0"/>
        <w:kinsoku/>
        <w:bidi w:val="0"/>
        <w:adjustRightInd w:val="0"/>
        <w:snapToGrid w:val="0"/>
        <w:spacing w:line="360" w:lineRule="auto"/>
        <w:ind w:firstLine="560" w:firstLineChars="200"/>
        <w:textAlignment w:val="baseline"/>
        <w:rPr>
          <w:rFonts w:hint="eastAsia" w:ascii="宋体" w:hAnsi="宋体" w:eastAsia="宋体" w:cs="Times New Roman"/>
          <w:color w:val="000000"/>
          <w:kern w:val="0"/>
          <w:sz w:val="28"/>
          <w:szCs w:val="28"/>
          <w:u w:color="000000"/>
          <w:lang w:val="en-US" w:eastAsia="zh-CN" w:bidi="ar-SA"/>
        </w:rPr>
      </w:pPr>
      <w:r>
        <w:rPr>
          <w:rFonts w:hint="eastAsia" w:ascii="宋体" w:hAnsi="宋体" w:eastAsia="宋体" w:cs="Times New Roman"/>
          <w:snapToGrid w:val="0"/>
          <w:color w:val="000000"/>
          <w:kern w:val="0"/>
          <w:sz w:val="28"/>
          <w:szCs w:val="28"/>
          <w:highlight w:val="none"/>
          <w:u w:color="000000"/>
          <w:lang w:val="en-US" w:eastAsia="zh-CN" w:bidi="ar-SA"/>
        </w:rPr>
        <w:t>该公司现有从业人员7人，主要负责人为吴浩，配备专职安全管理人员1名，主要负责人和专职安全生产人员均经过培训，考核合格</w:t>
      </w:r>
      <w:r>
        <w:rPr>
          <w:rFonts w:hint="eastAsia" w:ascii="宋体" w:hAnsi="宋体" w:eastAsia="宋体" w:cs="Times New Roman"/>
          <w:color w:val="000000"/>
          <w:kern w:val="28"/>
          <w:sz w:val="28"/>
          <w:szCs w:val="28"/>
          <w:highlight w:val="none"/>
          <w:u w:color="000000"/>
          <w:lang w:val="en-US" w:eastAsia="zh-CN"/>
        </w:rPr>
        <w:t>。</w:t>
      </w:r>
      <w:r>
        <w:rPr>
          <w:rFonts w:hint="eastAsia" w:ascii="Times New Roman" w:hAnsi="Times New Roman" w:eastAsia="宋体" w:cs="Times New Roman"/>
          <w:color w:val="000000"/>
          <w:kern w:val="28"/>
          <w:sz w:val="28"/>
          <w:szCs w:val="28"/>
          <w:highlight w:val="none"/>
          <w:u w:color="000000"/>
          <w:lang w:val="en-US" w:eastAsia="zh-CN"/>
        </w:rPr>
        <w:t>该公司安全管理人员配置</w:t>
      </w:r>
      <w:r>
        <w:rPr>
          <w:rFonts w:hint="eastAsia" w:ascii="Times New Roman" w:hAnsi="Times New Roman" w:eastAsia="宋体" w:cs="Times New Roman"/>
          <w:color w:val="000000"/>
          <w:kern w:val="0"/>
          <w:sz w:val="28"/>
          <w:szCs w:val="28"/>
          <w:highlight w:val="none"/>
          <w:u w:color="000000"/>
          <w:lang w:val="en-US" w:eastAsia="zh-CN" w:bidi="ar-SA"/>
        </w:rPr>
        <w:t>满足《安全生产法</w:t>
      </w:r>
      <w:r>
        <w:rPr>
          <w:rFonts w:hint="eastAsia" w:ascii="宋体" w:hAnsi="宋体" w:eastAsia="宋体" w:cs="Times New Roman"/>
          <w:color w:val="000000"/>
          <w:kern w:val="0"/>
          <w:sz w:val="28"/>
          <w:szCs w:val="28"/>
          <w:highlight w:val="none"/>
          <w:u w:color="000000"/>
          <w:lang w:val="en-US" w:eastAsia="zh-CN" w:bidi="ar-SA"/>
        </w:rPr>
        <w:t>》第二</w:t>
      </w:r>
      <w:r>
        <w:rPr>
          <w:rFonts w:hint="eastAsia" w:ascii="宋体" w:hAnsi="宋体" w:eastAsia="宋体" w:cs="Times New Roman"/>
          <w:snapToGrid w:val="0"/>
          <w:color w:val="000000"/>
          <w:kern w:val="0"/>
          <w:sz w:val="28"/>
          <w:szCs w:val="28"/>
          <w:highlight w:val="none"/>
          <w:u w:color="000000"/>
          <w:lang w:val="en-US" w:eastAsia="zh-CN" w:bidi="ar-SA"/>
        </w:rPr>
        <w:t>十四条以及《山东省生产经营单位安全生产主体责任规定》第十条</w:t>
      </w:r>
      <w:r>
        <w:rPr>
          <w:rFonts w:hint="eastAsia" w:ascii="宋体" w:hAnsi="宋体" w:eastAsia="宋体" w:cs="Times New Roman"/>
          <w:color w:val="000000"/>
          <w:kern w:val="0"/>
          <w:sz w:val="28"/>
          <w:szCs w:val="28"/>
          <w:highlight w:val="none"/>
          <w:u w:color="000000"/>
          <w:lang w:val="en-US" w:eastAsia="zh-CN" w:bidi="ar-SA"/>
        </w:rPr>
        <w:t>的规定。该公司专职安全管理人员陈立余为应用化学本科学历</w:t>
      </w:r>
      <w:r>
        <w:rPr>
          <w:rFonts w:hint="eastAsia" w:ascii="宋体" w:hAnsi="宋体" w:eastAsia="宋体" w:cs="Times New Roman"/>
          <w:color w:val="000000"/>
          <w:kern w:val="0"/>
          <w:sz w:val="28"/>
          <w:szCs w:val="28"/>
          <w:u w:color="000000"/>
          <w:lang w:val="en-US" w:eastAsia="zh-CN" w:bidi="ar-SA"/>
        </w:rPr>
        <w:t>，符合《危险化学品经营许可证管理办法》原国家安全生产监督管理总局令第55号（第79号修改）、《山东省应急管理厅关于印发&lt;山东省危险化学品经营许可证实施细则&gt;的通知》鲁应急发〔2025〕4号的规定。</w:t>
      </w:r>
    </w:p>
    <w:p w14:paraId="6AC7F8B9">
      <w:pPr>
        <w:keepNext w:val="0"/>
        <w:keepLines w:val="0"/>
        <w:pageBreakBefore w:val="0"/>
        <w:widowControl w:val="0"/>
        <w:kinsoku/>
        <w:bidi w:val="0"/>
        <w:adjustRightInd w:val="0"/>
        <w:snapToGrid w:val="0"/>
        <w:spacing w:line="360" w:lineRule="auto"/>
        <w:ind w:firstLine="560" w:firstLineChars="200"/>
        <w:textAlignment w:val="baseline"/>
        <w:rPr>
          <w:rFonts w:hint="eastAsia" w:ascii="宋体" w:hAnsi="宋体" w:eastAsia="宋体" w:cs="Times New Roman"/>
          <w:color w:val="000000"/>
          <w:kern w:val="28"/>
          <w:sz w:val="28"/>
          <w:szCs w:val="28"/>
          <w:highlight w:val="none"/>
          <w:u w:color="000000"/>
          <w:lang w:val="en-US" w:eastAsia="zh-CN"/>
        </w:rPr>
      </w:pPr>
      <w:r>
        <w:rPr>
          <w:rFonts w:hint="eastAsia" w:ascii="宋体" w:hAnsi="宋体" w:eastAsia="宋体" w:cs="Times New Roman"/>
          <w:color w:val="000000"/>
          <w:kern w:val="28"/>
          <w:sz w:val="28"/>
          <w:szCs w:val="28"/>
          <w:highlight w:val="none"/>
          <w:u w:color="000000"/>
          <w:lang w:val="en-US" w:eastAsia="zh-CN"/>
        </w:rPr>
        <w:t>公司成立有安全生产领导小组，制定了安全生产管理制度和各级各类人员安全生产责任制，形成了较为完善的安全管理体系，编制了生产安全事故应急救援预案，于2026年3月18</w:t>
      </w:r>
      <w:r>
        <w:rPr>
          <w:rFonts w:hint="eastAsia" w:ascii="宋体" w:hAnsi="宋体" w:eastAsia="宋体" w:cs="Times New Roman"/>
          <w:snapToGrid w:val="0"/>
          <w:color w:val="000000"/>
          <w:kern w:val="0"/>
          <w:sz w:val="28"/>
          <w:szCs w:val="28"/>
          <w:highlight w:val="none"/>
          <w:u w:color="000000"/>
          <w:lang w:val="en-US" w:eastAsia="zh-CN" w:bidi="ar-SA"/>
        </w:rPr>
        <w:t>日在泰安市岱岳</w:t>
      </w:r>
      <w:r>
        <w:rPr>
          <w:rFonts w:hint="eastAsia" w:ascii="宋体" w:hAnsi="宋体" w:eastAsia="宋体" w:cs="Times New Roman"/>
          <w:color w:val="000000"/>
          <w:kern w:val="28"/>
          <w:sz w:val="28"/>
          <w:szCs w:val="28"/>
          <w:highlight w:val="none"/>
          <w:u w:color="000000"/>
          <w:lang w:val="en-US" w:eastAsia="zh-CN"/>
        </w:rPr>
        <w:t>区应急管理局进行了备案（备案编号：3709112026011）。</w:t>
      </w:r>
    </w:p>
    <w:p w14:paraId="178E20AE">
      <w:pPr>
        <w:keepNext w:val="0"/>
        <w:keepLines w:val="0"/>
        <w:pageBreakBefore w:val="0"/>
        <w:widowControl w:val="0"/>
        <w:kinsoku/>
        <w:bidi w:val="0"/>
        <w:adjustRightInd w:val="0"/>
        <w:snapToGrid w:val="0"/>
        <w:spacing w:line="360" w:lineRule="auto"/>
        <w:ind w:firstLine="560" w:firstLineChars="200"/>
        <w:textAlignment w:val="baseline"/>
        <w:rPr>
          <w:rFonts w:hint="eastAsia" w:ascii="宋体" w:hAnsi="宋体" w:eastAsia="宋体" w:cs="Times New Roman"/>
          <w:color w:val="000000"/>
          <w:kern w:val="28"/>
          <w:sz w:val="28"/>
          <w:szCs w:val="28"/>
          <w:u w:color="000000"/>
          <w:lang w:val="en-US" w:eastAsia="zh-CN"/>
        </w:rPr>
      </w:pPr>
      <w:r>
        <w:rPr>
          <w:rFonts w:hint="eastAsia" w:ascii="宋体" w:hAnsi="宋体" w:eastAsia="宋体" w:cs="Times New Roman"/>
          <w:color w:val="000000"/>
          <w:kern w:val="28"/>
          <w:sz w:val="28"/>
          <w:szCs w:val="28"/>
          <w:highlight w:val="none"/>
          <w:u w:color="000000"/>
          <w:lang w:val="en-US" w:eastAsia="zh-CN"/>
        </w:rPr>
        <w:t>该公司涉及电工2人，叉车司机1人，</w:t>
      </w:r>
      <w:r>
        <w:rPr>
          <w:rFonts w:hint="eastAsia" w:ascii="宋体" w:hAnsi="宋体" w:eastAsia="宋体" w:cs="Times New Roman"/>
          <w:color w:val="000000"/>
          <w:kern w:val="28"/>
          <w:sz w:val="28"/>
          <w:szCs w:val="28"/>
          <w:u w:color="000000"/>
          <w:lang w:val="en-US" w:eastAsia="zh-CN"/>
        </w:rPr>
        <w:t>经过培训持证上岗，证书在有效期内。特种设备作业人员的配备符合《特种作业人员安全技术培训考核管理规定》中华人民共和国应急管理部令第19号、《市场监管总局关于特种设备行政许可有关事项的公告》2019年第41号的要求；其他员工上岗前均经过三级安全教育和专业工种培训，掌握安全知识、专业技术和应急救援知识，并经考核合格后上岗。</w:t>
      </w:r>
    </w:p>
    <w:p w14:paraId="1D825096">
      <w:pPr>
        <w:keepNext w:val="0"/>
        <w:keepLines w:val="0"/>
        <w:pageBreakBefore w:val="0"/>
        <w:widowControl w:val="0"/>
        <w:kinsoku/>
        <w:bidi w:val="0"/>
        <w:adjustRightInd w:val="0"/>
        <w:snapToGrid w:val="0"/>
        <w:spacing w:line="360" w:lineRule="auto"/>
        <w:ind w:firstLine="560" w:firstLineChars="200"/>
        <w:textAlignment w:val="baseline"/>
        <w:rPr>
          <w:rFonts w:hint="default" w:ascii="Times New Roman" w:hAnsi="Times New Roman" w:eastAsia="宋体" w:cs="Times New Roman"/>
          <w:color w:val="000000"/>
          <w:kern w:val="0"/>
          <w:szCs w:val="20"/>
          <w:u w:color="000000"/>
          <w:lang w:val="en-US" w:eastAsia="zh-CN"/>
        </w:rPr>
      </w:pPr>
      <w:r>
        <w:rPr>
          <w:rFonts w:hint="eastAsia" w:ascii="宋体" w:hAnsi="宋体" w:eastAsia="宋体" w:cs="Times New Roman"/>
          <w:color w:val="000000"/>
          <w:kern w:val="28"/>
          <w:sz w:val="28"/>
          <w:szCs w:val="28"/>
          <w:u w:color="000000"/>
          <w:lang w:val="en-US" w:eastAsia="zh-CN"/>
        </w:rPr>
        <w:t>该公司于2025年1月10日与山东仕全兴新材料有限公司签订租赁合同（租赁办公综合楼东侧101室-106室与成品仓库），租赁期为3年。</w:t>
      </w:r>
    </w:p>
    <w:p w14:paraId="6FB3EBAE">
      <w:pPr>
        <w:keepNext w:val="0"/>
        <w:keepLines w:val="0"/>
        <w:pageBreakBefore w:val="0"/>
        <w:widowControl w:val="0"/>
        <w:kinsoku/>
        <w:bidi w:val="0"/>
        <w:adjustRightInd w:val="0"/>
        <w:snapToGrid w:val="0"/>
        <w:spacing w:line="360" w:lineRule="auto"/>
        <w:ind w:firstLine="560" w:firstLineChars="200"/>
        <w:textAlignment w:val="baseline"/>
        <w:rPr>
          <w:rFonts w:hint="default" w:ascii="宋体" w:hAnsi="宋体" w:eastAsia="宋体" w:cs="Times New Roman"/>
          <w:color w:val="000000"/>
          <w:kern w:val="28"/>
          <w:sz w:val="28"/>
          <w:szCs w:val="28"/>
          <w:u w:color="000000"/>
          <w:lang w:val="en-US" w:eastAsia="zh-CN"/>
        </w:rPr>
      </w:pPr>
      <w:r>
        <w:rPr>
          <w:rFonts w:hint="eastAsia" w:ascii="宋体" w:hAnsi="宋体" w:eastAsia="宋体" w:cs="Times New Roman"/>
          <w:color w:val="000000"/>
          <w:kern w:val="28"/>
          <w:sz w:val="28"/>
          <w:szCs w:val="28"/>
          <w:u w:color="000000"/>
          <w:lang w:val="en-US" w:eastAsia="zh-CN"/>
        </w:rPr>
        <w:t>该公司依托1台叉车（车11鲁J20030(18)）于2025年11月03日由泰安市特种设备检验研究院检验合格，有效期至2027年11月。</w:t>
      </w:r>
    </w:p>
    <w:p w14:paraId="4BB6CD0E">
      <w:pPr>
        <w:keepNext w:val="0"/>
        <w:keepLines w:val="0"/>
        <w:pageBreakBefore w:val="0"/>
        <w:widowControl w:val="0"/>
        <w:kinsoku/>
        <w:bidi w:val="0"/>
        <w:adjustRightInd w:val="0"/>
        <w:snapToGrid w:val="0"/>
        <w:spacing w:line="360" w:lineRule="auto"/>
        <w:ind w:firstLine="560" w:firstLineChars="200"/>
        <w:textAlignment w:val="baseline"/>
        <w:rPr>
          <w:rFonts w:hint="eastAsia" w:ascii="宋体" w:hAnsi="宋体" w:eastAsia="宋体" w:cs="Times New Roman"/>
          <w:color w:val="000000"/>
          <w:kern w:val="28"/>
          <w:sz w:val="28"/>
          <w:szCs w:val="28"/>
          <w:u w:color="000000"/>
          <w:lang w:val="en-US" w:eastAsia="zh-CN"/>
        </w:rPr>
      </w:pPr>
      <w:r>
        <w:rPr>
          <w:rFonts w:hint="eastAsia" w:ascii="宋体" w:hAnsi="宋体" w:eastAsia="宋体" w:cs="Times New Roman"/>
          <w:color w:val="000000"/>
          <w:kern w:val="28"/>
          <w:sz w:val="28"/>
          <w:szCs w:val="28"/>
          <w:u w:color="000000"/>
          <w:lang w:val="en-US" w:eastAsia="zh-CN"/>
        </w:rPr>
        <w:t>该公司依托成品仓库涉及的8只可燃气体探测器于2026年03月06日由山东正源计量检测有限公司检定合格，有效期至2027年03月05日。</w:t>
      </w:r>
    </w:p>
    <w:p w14:paraId="4D192CB9">
      <w:pPr>
        <w:keepNext w:val="0"/>
        <w:keepLines w:val="0"/>
        <w:pageBreakBefore w:val="0"/>
        <w:widowControl w:val="0"/>
        <w:kinsoku/>
        <w:bidi w:val="0"/>
        <w:adjustRightInd w:val="0"/>
        <w:snapToGrid w:val="0"/>
        <w:spacing w:line="360" w:lineRule="auto"/>
        <w:ind w:firstLine="560" w:firstLineChars="200"/>
        <w:textAlignment w:val="baseline"/>
        <w:rPr>
          <w:rFonts w:hint="default" w:ascii="宋体" w:hAnsi="宋体" w:eastAsia="宋体" w:cs="Times New Roman"/>
          <w:color w:val="000000"/>
          <w:kern w:val="28"/>
          <w:sz w:val="28"/>
          <w:szCs w:val="28"/>
          <w:highlight w:val="none"/>
          <w:u w:color="000000"/>
          <w:lang w:val="en-US" w:eastAsia="zh-CN"/>
        </w:rPr>
      </w:pPr>
      <w:r>
        <w:rPr>
          <w:rFonts w:hint="eastAsia" w:ascii="宋体" w:hAnsi="宋体" w:eastAsia="宋体" w:cs="Times New Roman"/>
          <w:color w:val="000000"/>
          <w:kern w:val="28"/>
          <w:sz w:val="28"/>
          <w:szCs w:val="28"/>
          <w:highlight w:val="none"/>
          <w:u w:color="000000"/>
          <w:lang w:val="en-US" w:eastAsia="zh-CN"/>
        </w:rPr>
        <w:t>该公司依托仕全兴设施包含于4万吨/年木器漆生产项目中，项目于2011年3月11日取得了危险化学品建设项目安全许可意见书（泰安监危化项目审字〔2011〕8号）。</w:t>
      </w:r>
    </w:p>
    <w:p w14:paraId="3DA1F625">
      <w:pPr>
        <w:keepNext w:val="0"/>
        <w:keepLines w:val="0"/>
        <w:pageBreakBefore w:val="0"/>
        <w:widowControl w:val="0"/>
        <w:kinsoku/>
        <w:bidi w:val="0"/>
        <w:adjustRightInd w:val="0"/>
        <w:snapToGrid w:val="0"/>
        <w:spacing w:line="360" w:lineRule="auto"/>
        <w:ind w:firstLine="560" w:firstLineChars="200"/>
        <w:textAlignment w:val="baseline"/>
        <w:rPr>
          <w:rFonts w:hint="eastAsia" w:ascii="宋体" w:hAnsi="宋体" w:eastAsia="宋体" w:cs="Times New Roman"/>
          <w:color w:val="000000"/>
          <w:kern w:val="28"/>
          <w:sz w:val="28"/>
          <w:szCs w:val="28"/>
          <w:highlight w:val="none"/>
          <w:u w:color="000000"/>
          <w:lang w:val="en-US" w:eastAsia="zh-CN"/>
        </w:rPr>
      </w:pPr>
      <w:r>
        <w:rPr>
          <w:rFonts w:hint="eastAsia" w:ascii="宋体" w:hAnsi="宋体" w:eastAsia="宋体" w:cs="Times New Roman"/>
          <w:color w:val="000000"/>
          <w:kern w:val="28"/>
          <w:sz w:val="28"/>
          <w:szCs w:val="28"/>
          <w:highlight w:val="none"/>
          <w:u w:color="000000"/>
          <w:lang w:val="en-US" w:eastAsia="zh-CN"/>
        </w:rPr>
        <w:t>该公司依托成品仓库于2010年12月9日取得了泰安市公安消防分局出具的《建设工程消防验收意见书》，评定该建设工程消防验收合格，编号为：泰公消验[2010]第0051号，详见附件。</w:t>
      </w:r>
    </w:p>
    <w:p w14:paraId="2A4A5C87">
      <w:pPr>
        <w:keepNext w:val="0"/>
        <w:keepLines w:val="0"/>
        <w:pageBreakBefore w:val="0"/>
        <w:widowControl w:val="0"/>
        <w:kinsoku/>
        <w:bidi w:val="0"/>
        <w:adjustRightInd w:val="0"/>
        <w:snapToGrid w:val="0"/>
        <w:spacing w:line="360" w:lineRule="auto"/>
        <w:ind w:firstLine="560" w:firstLineChars="200"/>
        <w:textAlignment w:val="baseline"/>
        <w:rPr>
          <w:rFonts w:hint="eastAsia" w:ascii="宋体" w:hAnsi="宋体" w:eastAsia="宋体" w:cs="Times New Roman"/>
          <w:color w:val="000000"/>
          <w:kern w:val="28"/>
          <w:sz w:val="28"/>
          <w:szCs w:val="28"/>
          <w:highlight w:val="none"/>
          <w:u w:color="000000"/>
          <w:lang w:val="en-US" w:eastAsia="zh-CN"/>
        </w:rPr>
      </w:pPr>
      <w:r>
        <w:rPr>
          <w:rFonts w:hint="eastAsia" w:ascii="宋体" w:hAnsi="宋体" w:eastAsia="宋体" w:cs="Times New Roman"/>
          <w:color w:val="000000"/>
          <w:kern w:val="28"/>
          <w:sz w:val="28"/>
          <w:szCs w:val="28"/>
          <w:highlight w:val="none"/>
          <w:u w:color="000000"/>
          <w:lang w:val="en-US" w:eastAsia="zh-CN"/>
        </w:rPr>
        <w:t>该公司在中国人民财产保险股份有限公司购买了安全生产责任保险，保险期期间：共12个月，自2026年01月30日零时起，至2027年01月29日二十四时止，保单号：PZJT202637090000000194，投保人数共7人，详见附件。</w:t>
      </w:r>
    </w:p>
    <w:p w14:paraId="39FC59A2">
      <w:pPr>
        <w:pStyle w:val="12"/>
        <w:widowControl w:val="0"/>
        <w:spacing w:line="360" w:lineRule="auto"/>
        <w:ind w:firstLine="560"/>
        <w:rPr>
          <w:rFonts w:ascii="宋体"/>
          <w:color w:val="000000" w:themeColor="text1"/>
          <w14:textFill>
            <w14:solidFill>
              <w14:schemeClr w14:val="tx1"/>
            </w14:solidFill>
          </w14:textFill>
        </w:rPr>
      </w:pPr>
      <w:r>
        <w:rPr>
          <w:rFonts w:hint="eastAsia" w:ascii="宋体" w:hAnsi="宋体" w:eastAsia="宋体" w:cs="Times New Roman"/>
          <w:color w:val="000000"/>
          <w:kern w:val="28"/>
          <w:sz w:val="28"/>
          <w:szCs w:val="28"/>
          <w:highlight w:val="none"/>
          <w:u w:color="000000"/>
          <w:lang w:val="en-US" w:eastAsia="zh-CN"/>
        </w:rPr>
        <w:t>该公司依托成品库防雷设施于2026年03月07日由山东天科防雷工程有限公司检测，结论为：合格，成品库雷电防护装置所测数据符合现行国家防雷规范标准要求，报告编号：（1122016001）[2026]D-TADY0025，有效期截至2026年09月06日</w:t>
      </w:r>
      <w:r>
        <w:rPr>
          <w:rFonts w:hint="eastAsia" w:ascii="宋体"/>
          <w:color w:val="000000" w:themeColor="text1"/>
          <w14:textFill>
            <w14:solidFill>
              <w14:schemeClr w14:val="tx1"/>
            </w14:solidFill>
          </w14:textFill>
        </w:rPr>
        <w:t>。</w:t>
      </w:r>
    </w:p>
    <w:bookmarkEnd w:id="14"/>
    <w:bookmarkEnd w:id="15"/>
    <w:bookmarkEnd w:id="16"/>
    <w:bookmarkEnd w:id="17"/>
    <w:p w14:paraId="0DD25753">
      <w:pPr>
        <w:rPr>
          <w:rFonts w:hint="eastAsia" w:ascii="黑体" w:hAnsi="Times New Roman" w:eastAsia="黑体" w:cs="Times New Roman"/>
          <w:b/>
          <w:snapToGrid w:val="0"/>
          <w:color w:val="000000"/>
          <w:spacing w:val="0"/>
          <w:kern w:val="0"/>
          <w:sz w:val="32"/>
          <w:szCs w:val="32"/>
          <w:highlight w:val="none"/>
          <w:u w:color="000000"/>
          <w:lang w:val="en-US" w:eastAsia="zh-CN" w:bidi="ar-SA"/>
        </w:rPr>
      </w:pPr>
      <w:bookmarkStart w:id="18" w:name="_Toc25895"/>
      <w:bookmarkStart w:id="19" w:name="_Toc1188"/>
      <w:bookmarkStart w:id="20" w:name="_Toc321761913"/>
      <w:r>
        <w:rPr>
          <w:rFonts w:hint="eastAsia" w:ascii="黑体" w:hAnsi="Times New Roman" w:eastAsia="黑体" w:cs="Times New Roman"/>
          <w:b/>
          <w:snapToGrid w:val="0"/>
          <w:color w:val="000000"/>
          <w:spacing w:val="0"/>
          <w:kern w:val="0"/>
          <w:sz w:val="32"/>
          <w:szCs w:val="32"/>
          <w:highlight w:val="none"/>
          <w:u w:color="000000"/>
          <w:lang w:val="en-US" w:eastAsia="zh-CN" w:bidi="ar-SA"/>
        </w:rPr>
        <w:br w:type="page"/>
      </w:r>
    </w:p>
    <w:p w14:paraId="6BB29CFA">
      <w:pPr>
        <w:keepNext w:val="0"/>
        <w:keepLines w:val="0"/>
        <w:pageBreakBefore w:val="0"/>
        <w:widowControl w:val="0"/>
        <w:kinsoku/>
        <w:bidi w:val="0"/>
        <w:adjustRightInd w:val="0"/>
        <w:snapToGrid w:val="0"/>
        <w:spacing w:line="360" w:lineRule="auto"/>
        <w:jc w:val="center"/>
        <w:textAlignment w:val="auto"/>
        <w:outlineLvl w:val="0"/>
        <w:rPr>
          <w:rFonts w:ascii="黑体" w:hAnsi="Times New Roman" w:eastAsia="黑体" w:cs="Times New Roman"/>
          <w:b/>
          <w:snapToGrid w:val="0"/>
          <w:color w:val="000000"/>
          <w:spacing w:val="0"/>
          <w:kern w:val="0"/>
          <w:sz w:val="32"/>
          <w:szCs w:val="32"/>
          <w:highlight w:val="none"/>
          <w:u w:color="000000"/>
          <w:lang w:val="en-US" w:eastAsia="zh-CN" w:bidi="ar-SA"/>
        </w:rPr>
      </w:pPr>
      <w:r>
        <w:rPr>
          <w:rFonts w:hint="eastAsia" w:ascii="黑体" w:hAnsi="Times New Roman" w:eastAsia="黑体" w:cs="Times New Roman"/>
          <w:b/>
          <w:snapToGrid w:val="0"/>
          <w:color w:val="000000"/>
          <w:spacing w:val="0"/>
          <w:kern w:val="0"/>
          <w:sz w:val="32"/>
          <w:szCs w:val="32"/>
          <w:highlight w:val="none"/>
          <w:u w:color="000000"/>
          <w:lang w:val="en-US" w:eastAsia="zh-CN" w:bidi="ar-SA"/>
        </w:rPr>
        <w:t xml:space="preserve">第四章 </w:t>
      </w:r>
      <w:r>
        <w:rPr>
          <w:rFonts w:ascii="黑体" w:hAnsi="Times New Roman" w:eastAsia="黑体" w:cs="Times New Roman"/>
          <w:b/>
          <w:snapToGrid w:val="0"/>
          <w:color w:val="000000"/>
          <w:spacing w:val="0"/>
          <w:kern w:val="0"/>
          <w:sz w:val="32"/>
          <w:szCs w:val="32"/>
          <w:highlight w:val="none"/>
          <w:u w:color="000000"/>
          <w:lang w:val="en-US" w:eastAsia="zh-CN" w:bidi="ar-SA"/>
        </w:rPr>
        <w:t>评价</w:t>
      </w:r>
      <w:r>
        <w:rPr>
          <w:rFonts w:hint="eastAsia" w:ascii="黑体" w:hAnsi="Times New Roman" w:eastAsia="黑体" w:cs="Times New Roman"/>
          <w:b/>
          <w:snapToGrid w:val="0"/>
          <w:color w:val="000000"/>
          <w:spacing w:val="0"/>
          <w:kern w:val="0"/>
          <w:sz w:val="32"/>
          <w:szCs w:val="32"/>
          <w:highlight w:val="none"/>
          <w:u w:color="000000"/>
          <w:lang w:val="en-US" w:eastAsia="zh-CN" w:bidi="ar-SA"/>
        </w:rPr>
        <w:t>单元划分和评价方法选择</w:t>
      </w:r>
      <w:bookmarkEnd w:id="18"/>
    </w:p>
    <w:p w14:paraId="2363ECA0">
      <w:pPr>
        <w:keepNext w:val="0"/>
        <w:keepLines w:val="0"/>
        <w:pageBreakBefore w:val="0"/>
        <w:widowControl w:val="0"/>
        <w:kinsoku/>
        <w:bidi w:val="0"/>
        <w:adjustRightInd w:val="0"/>
        <w:snapToGrid w:val="0"/>
        <w:spacing w:line="360" w:lineRule="auto"/>
        <w:ind w:right="0"/>
        <w:jc w:val="center"/>
        <w:textAlignment w:val="auto"/>
        <w:outlineLvl w:val="2"/>
        <w:rPr>
          <w:rFonts w:ascii="楷体_GB2312" w:hAnsi="Times New Roman" w:eastAsia="楷体_GB2312" w:cs="Times New Roman"/>
          <w:snapToGrid w:val="0"/>
          <w:color w:val="000000"/>
          <w:kern w:val="0"/>
          <w:sz w:val="28"/>
          <w:szCs w:val="32"/>
          <w:highlight w:val="none"/>
          <w:u w:color="000000"/>
          <w:lang w:val="en-US" w:eastAsia="zh-CN" w:bidi="ar-SA"/>
        </w:rPr>
      </w:pPr>
      <w:r>
        <w:rPr>
          <w:rFonts w:hint="eastAsia" w:ascii="楷体_GB2312" w:hAnsi="Arial" w:eastAsia="楷体_GB2312" w:cs="Times New Roman"/>
          <w:b/>
          <w:snapToGrid w:val="0"/>
          <w:color w:val="000000"/>
          <w:kern w:val="0"/>
          <w:sz w:val="32"/>
          <w:szCs w:val="32"/>
          <w:highlight w:val="none"/>
          <w:u w:color="000000"/>
          <w:lang w:val="en-US" w:eastAsia="zh-CN" w:bidi="ar-SA"/>
        </w:rPr>
        <w:t>第一节 评价单元划分</w:t>
      </w:r>
      <w:bookmarkEnd w:id="19"/>
      <w:bookmarkEnd w:id="20"/>
    </w:p>
    <w:p w14:paraId="471908A8">
      <w:pPr>
        <w:keepNext w:val="0"/>
        <w:keepLines w:val="0"/>
        <w:pageBreakBefore w:val="0"/>
        <w:widowControl w:val="0"/>
        <w:kinsoku/>
        <w:bidi w:val="0"/>
        <w:snapToGrid w:val="0"/>
        <w:spacing w:line="360" w:lineRule="auto"/>
        <w:ind w:firstLine="562" w:firstLineChars="200"/>
        <w:textAlignment w:val="center"/>
        <w:rPr>
          <w:rFonts w:ascii="黑体" w:hAnsi="Times New Roman" w:eastAsia="黑体" w:cs="Times New Roman"/>
          <w:b/>
          <w:snapToGrid w:val="0"/>
          <w:color w:val="000000"/>
          <w:kern w:val="0"/>
          <w:sz w:val="28"/>
          <w:szCs w:val="28"/>
          <w:highlight w:val="none"/>
          <w:u w:color="000000"/>
        </w:rPr>
      </w:pPr>
      <w:r>
        <w:rPr>
          <w:rFonts w:hint="eastAsia" w:ascii="黑体" w:hAnsi="Times New Roman" w:eastAsia="黑体" w:cs="Times New Roman"/>
          <w:b/>
          <w:snapToGrid w:val="0"/>
          <w:color w:val="000000"/>
          <w:kern w:val="0"/>
          <w:sz w:val="28"/>
          <w:szCs w:val="28"/>
          <w:highlight w:val="none"/>
          <w:u w:color="000000"/>
        </w:rPr>
        <w:t>一、评价单元划分原则</w:t>
      </w:r>
    </w:p>
    <w:p w14:paraId="213A4516">
      <w:pPr>
        <w:keepNext w:val="0"/>
        <w:keepLines w:val="0"/>
        <w:pageBreakBefore w:val="0"/>
        <w:widowControl w:val="0"/>
        <w:kinsoku/>
        <w:bidi w:val="0"/>
        <w:snapToGrid w:val="0"/>
        <w:spacing w:line="360" w:lineRule="auto"/>
        <w:ind w:firstLine="560" w:firstLineChars="200"/>
        <w:textAlignment w:val="center"/>
        <w:rPr>
          <w:rFonts w:ascii="宋体" w:hAnsi="Times New Roman" w:eastAsia="宋体" w:cs="Times New Roman"/>
          <w:snapToGrid w:val="0"/>
          <w:color w:val="000000"/>
          <w:kern w:val="0"/>
          <w:sz w:val="28"/>
          <w:szCs w:val="28"/>
          <w:highlight w:val="none"/>
          <w:u w:color="000000"/>
        </w:rPr>
      </w:pPr>
      <w:r>
        <w:rPr>
          <w:rFonts w:hint="eastAsia" w:ascii="宋体" w:hAnsi="Times New Roman" w:eastAsia="宋体" w:cs="Times New Roman"/>
          <w:snapToGrid w:val="0"/>
          <w:color w:val="000000"/>
          <w:kern w:val="0"/>
          <w:sz w:val="28"/>
          <w:szCs w:val="28"/>
          <w:highlight w:val="none"/>
          <w:u w:color="000000"/>
        </w:rPr>
        <w:t>在评价单元的划分中，一般按生产工艺功能、生产设施设备相对空间位置、危险有害因素类别及事故范围划分评价单元，使评价单元相对独立，具有明显的特征界限。</w:t>
      </w:r>
    </w:p>
    <w:p w14:paraId="26DA5DF0">
      <w:pPr>
        <w:keepNext w:val="0"/>
        <w:keepLines w:val="0"/>
        <w:pageBreakBefore w:val="0"/>
        <w:widowControl w:val="0"/>
        <w:kinsoku/>
        <w:bidi w:val="0"/>
        <w:snapToGrid w:val="0"/>
        <w:spacing w:line="360" w:lineRule="auto"/>
        <w:ind w:firstLine="562" w:firstLineChars="200"/>
        <w:textAlignment w:val="center"/>
        <w:rPr>
          <w:rFonts w:ascii="黑体" w:hAnsi="Times New Roman" w:eastAsia="黑体" w:cs="Times New Roman"/>
          <w:b/>
          <w:snapToGrid w:val="0"/>
          <w:color w:val="000000"/>
          <w:kern w:val="0"/>
          <w:sz w:val="28"/>
          <w:szCs w:val="28"/>
          <w:highlight w:val="none"/>
          <w:u w:color="000000"/>
        </w:rPr>
      </w:pPr>
      <w:r>
        <w:rPr>
          <w:rFonts w:hint="eastAsia" w:ascii="黑体" w:hAnsi="Times New Roman" w:eastAsia="黑体" w:cs="Times New Roman"/>
          <w:b/>
          <w:snapToGrid w:val="0"/>
          <w:color w:val="000000"/>
          <w:kern w:val="0"/>
          <w:sz w:val="28"/>
          <w:szCs w:val="28"/>
          <w:highlight w:val="none"/>
          <w:u w:color="000000"/>
        </w:rPr>
        <w:t>二、评价单元划分</w:t>
      </w:r>
    </w:p>
    <w:p w14:paraId="7FA71B1E">
      <w:pPr>
        <w:keepNext w:val="0"/>
        <w:keepLines w:val="0"/>
        <w:pageBreakBefore w:val="0"/>
        <w:widowControl w:val="0"/>
        <w:kinsoku/>
        <w:bidi w:val="0"/>
        <w:snapToGrid w:val="0"/>
        <w:spacing w:line="360" w:lineRule="auto"/>
        <w:ind w:firstLine="560" w:firstLineChars="200"/>
        <w:textAlignment w:val="center"/>
        <w:rPr>
          <w:rFonts w:hint="eastAsia" w:ascii="宋体" w:hAnsi="Times New Roman" w:eastAsia="宋体" w:cs="Times New Roman"/>
          <w:snapToGrid w:val="0"/>
          <w:color w:val="000000"/>
          <w:kern w:val="0"/>
          <w:sz w:val="28"/>
          <w:szCs w:val="28"/>
          <w:highlight w:val="none"/>
          <w:u w:color="000000"/>
        </w:rPr>
      </w:pPr>
      <w:r>
        <w:rPr>
          <w:rFonts w:hint="eastAsia" w:ascii="宋体" w:hAnsi="Times New Roman" w:eastAsia="宋体" w:cs="Times New Roman"/>
          <w:snapToGrid w:val="0"/>
          <w:color w:val="000000"/>
          <w:kern w:val="0"/>
          <w:sz w:val="28"/>
          <w:szCs w:val="28"/>
          <w:highlight w:val="none"/>
          <w:u w:color="000000"/>
        </w:rPr>
        <w:t>根据《危险化学品经营单位安全评价导则》的要求，并结合</w:t>
      </w:r>
      <w:r>
        <w:rPr>
          <w:rFonts w:hint="eastAsia" w:ascii="宋体" w:hAnsi="Times New Roman" w:eastAsia="宋体" w:cs="Times New Roman"/>
          <w:snapToGrid w:val="0"/>
          <w:color w:val="000000"/>
          <w:kern w:val="0"/>
          <w:sz w:val="28"/>
          <w:szCs w:val="28"/>
          <w:highlight w:val="none"/>
          <w:u w:color="000000"/>
          <w:lang w:val="en-US" w:eastAsia="zh-CN"/>
        </w:rPr>
        <w:t>项目</w:t>
      </w:r>
      <w:r>
        <w:rPr>
          <w:rFonts w:hint="eastAsia" w:ascii="宋体" w:hAnsi="Times New Roman" w:eastAsia="宋体" w:cs="Times New Roman"/>
          <w:snapToGrid w:val="0"/>
          <w:color w:val="000000"/>
          <w:kern w:val="0"/>
          <w:sz w:val="28"/>
          <w:szCs w:val="28"/>
          <w:highlight w:val="none"/>
          <w:u w:color="000000"/>
        </w:rPr>
        <w:t>实际情况，具体划分为四个评价单元，即：</w:t>
      </w:r>
    </w:p>
    <w:p w14:paraId="3B119EB5">
      <w:pPr>
        <w:keepNext w:val="0"/>
        <w:keepLines w:val="0"/>
        <w:pageBreakBefore w:val="0"/>
        <w:widowControl w:val="0"/>
        <w:kinsoku/>
        <w:bidi w:val="0"/>
        <w:snapToGrid w:val="0"/>
        <w:spacing w:line="360" w:lineRule="auto"/>
        <w:ind w:firstLine="560" w:firstLineChars="200"/>
        <w:textAlignment w:val="center"/>
        <w:rPr>
          <w:rFonts w:hint="eastAsia" w:ascii="宋体" w:hAnsi="Times New Roman" w:eastAsia="宋体" w:cs="Times New Roman"/>
          <w:snapToGrid w:val="0"/>
          <w:color w:val="000000"/>
          <w:kern w:val="0"/>
          <w:sz w:val="28"/>
          <w:szCs w:val="28"/>
          <w:highlight w:val="none"/>
          <w:u w:color="000000"/>
          <w:lang w:val="en-US" w:eastAsia="zh-CN"/>
        </w:rPr>
      </w:pPr>
      <w:r>
        <w:rPr>
          <w:rFonts w:hint="eastAsia" w:ascii="宋体" w:hAnsi="Times New Roman" w:eastAsia="宋体" w:cs="Times New Roman"/>
          <w:snapToGrid w:val="0"/>
          <w:color w:val="000000"/>
          <w:kern w:val="0"/>
          <w:sz w:val="28"/>
          <w:szCs w:val="28"/>
          <w:highlight w:val="none"/>
          <w:u w:color="000000"/>
          <w:lang w:val="en-US" w:eastAsia="zh-CN"/>
        </w:rPr>
        <w:t>a）安全管理；              c）储存条件；</w:t>
      </w:r>
    </w:p>
    <w:p w14:paraId="227E944A">
      <w:pPr>
        <w:keepNext w:val="0"/>
        <w:keepLines w:val="0"/>
        <w:pageBreakBefore w:val="0"/>
        <w:widowControl w:val="0"/>
        <w:kinsoku/>
        <w:bidi w:val="0"/>
        <w:snapToGrid w:val="0"/>
        <w:spacing w:line="360" w:lineRule="auto"/>
        <w:ind w:firstLine="560" w:firstLineChars="200"/>
        <w:textAlignment w:val="center"/>
        <w:rPr>
          <w:rFonts w:ascii="宋体" w:hAnsi="Times New Roman" w:eastAsia="宋体" w:cs="Times New Roman"/>
          <w:color w:val="000000"/>
          <w:spacing w:val="10"/>
          <w:kern w:val="0"/>
          <w:sz w:val="28"/>
          <w:szCs w:val="28"/>
          <w:highlight w:val="none"/>
          <w:u w:color="000000"/>
        </w:rPr>
      </w:pPr>
      <w:r>
        <w:rPr>
          <w:rFonts w:hint="eastAsia" w:ascii="宋体" w:hAnsi="Times New Roman" w:eastAsia="宋体" w:cs="Times New Roman"/>
          <w:snapToGrid w:val="0"/>
          <w:color w:val="000000"/>
          <w:kern w:val="0"/>
          <w:sz w:val="28"/>
          <w:szCs w:val="28"/>
          <w:highlight w:val="none"/>
          <w:u w:color="000000"/>
          <w:lang w:val="en-US" w:eastAsia="zh-CN"/>
        </w:rPr>
        <w:t>b）经营管理；              d）消防安全及电气设备</w:t>
      </w:r>
    </w:p>
    <w:p w14:paraId="3C2B222F">
      <w:pPr>
        <w:keepNext w:val="0"/>
        <w:keepLines w:val="0"/>
        <w:pageBreakBefore w:val="0"/>
        <w:widowControl w:val="0"/>
        <w:kinsoku/>
        <w:bidi w:val="0"/>
        <w:adjustRightInd w:val="0"/>
        <w:snapToGrid w:val="0"/>
        <w:spacing w:line="360" w:lineRule="auto"/>
        <w:ind w:right="0"/>
        <w:jc w:val="center"/>
        <w:textAlignment w:val="auto"/>
        <w:outlineLvl w:val="2"/>
        <w:rPr>
          <w:rFonts w:ascii="楷体_GB2312" w:hAnsi="Times New Roman" w:eastAsia="楷体_GB2312" w:cs="Times New Roman"/>
          <w:snapToGrid w:val="0"/>
          <w:color w:val="000000"/>
          <w:kern w:val="0"/>
          <w:sz w:val="28"/>
          <w:szCs w:val="32"/>
          <w:highlight w:val="none"/>
          <w:u w:color="000000"/>
          <w:lang w:val="en-US" w:eastAsia="zh-CN" w:bidi="ar-SA"/>
        </w:rPr>
      </w:pPr>
      <w:bookmarkStart w:id="21" w:name="_Toc321761914"/>
      <w:bookmarkStart w:id="22" w:name="_Toc8271"/>
      <w:r>
        <w:rPr>
          <w:rFonts w:hint="eastAsia" w:ascii="楷体_GB2312" w:hAnsi="Arial" w:eastAsia="楷体_GB2312" w:cs="Times New Roman"/>
          <w:b/>
          <w:snapToGrid w:val="0"/>
          <w:color w:val="000000"/>
          <w:kern w:val="0"/>
          <w:sz w:val="32"/>
          <w:szCs w:val="32"/>
          <w:highlight w:val="none"/>
          <w:u w:color="000000"/>
          <w:lang w:val="en-US" w:eastAsia="zh-CN" w:bidi="ar-SA"/>
        </w:rPr>
        <w:t>第二节 评价方法选择</w:t>
      </w:r>
      <w:bookmarkEnd w:id="21"/>
      <w:bookmarkEnd w:id="22"/>
    </w:p>
    <w:p w14:paraId="137A4D34">
      <w:pPr>
        <w:keepNext w:val="0"/>
        <w:keepLines w:val="0"/>
        <w:pageBreakBefore w:val="0"/>
        <w:widowControl w:val="0"/>
        <w:kinsoku/>
        <w:bidi w:val="0"/>
        <w:snapToGrid w:val="0"/>
        <w:spacing w:line="360" w:lineRule="auto"/>
        <w:ind w:firstLine="560" w:firstLineChars="200"/>
        <w:textAlignment w:val="baseline"/>
        <w:rPr>
          <w:rFonts w:ascii="宋体" w:hAnsi="宋体" w:eastAsia="宋体" w:cs="Times New Roman"/>
          <w:snapToGrid w:val="0"/>
          <w:color w:val="000000"/>
          <w:kern w:val="0"/>
          <w:sz w:val="28"/>
          <w:szCs w:val="28"/>
          <w:highlight w:val="none"/>
          <w:u w:color="000000"/>
        </w:rPr>
      </w:pPr>
      <w:r>
        <w:rPr>
          <w:rFonts w:hint="eastAsia" w:ascii="宋体" w:hAnsi="宋体" w:eastAsia="宋体" w:cs="Times New Roman"/>
          <w:snapToGrid w:val="0"/>
          <w:color w:val="000000"/>
          <w:kern w:val="0"/>
          <w:sz w:val="28"/>
          <w:szCs w:val="28"/>
          <w:highlight w:val="none"/>
          <w:u w:color="000000"/>
        </w:rPr>
        <w:t>根据该</w:t>
      </w:r>
      <w:r>
        <w:rPr>
          <w:rFonts w:hint="eastAsia" w:ascii="宋体" w:hAnsi="宋体" w:eastAsia="宋体" w:cs="Times New Roman"/>
          <w:snapToGrid w:val="0"/>
          <w:color w:val="000000"/>
          <w:kern w:val="0"/>
          <w:sz w:val="28"/>
          <w:szCs w:val="28"/>
          <w:highlight w:val="none"/>
          <w:u w:color="000000"/>
          <w:lang w:val="en-US" w:eastAsia="zh-CN"/>
        </w:rPr>
        <w:t>项目</w:t>
      </w:r>
      <w:r>
        <w:rPr>
          <w:rFonts w:hint="eastAsia" w:ascii="宋体" w:hAnsi="宋体" w:eastAsia="宋体" w:cs="Times New Roman"/>
          <w:snapToGrid w:val="0"/>
          <w:color w:val="000000"/>
          <w:kern w:val="0"/>
          <w:sz w:val="28"/>
          <w:szCs w:val="28"/>
          <w:highlight w:val="none"/>
          <w:u w:color="000000"/>
        </w:rPr>
        <w:t>的物质特性和设备、设施等危险有害因素分析情况，确定本次安全评价采用安全检查表评价方法进行定性、定量评价。</w:t>
      </w:r>
    </w:p>
    <w:p w14:paraId="6B0A9BD1">
      <w:pPr>
        <w:keepNext w:val="0"/>
        <w:keepLines w:val="0"/>
        <w:pageBreakBefore w:val="0"/>
        <w:widowControl w:val="0"/>
        <w:kinsoku/>
        <w:bidi w:val="0"/>
        <w:adjustRightInd w:val="0"/>
        <w:snapToGrid w:val="0"/>
        <w:spacing w:line="360" w:lineRule="auto"/>
        <w:ind w:firstLine="560" w:firstLineChars="200"/>
        <w:textAlignment w:val="baseline"/>
        <w:rPr>
          <w:rFonts w:ascii="宋体" w:hAnsi="宋体" w:eastAsia="宋体" w:cs="Times New Roman"/>
          <w:snapToGrid w:val="0"/>
          <w:color w:val="000000"/>
          <w:kern w:val="0"/>
          <w:sz w:val="28"/>
          <w:szCs w:val="28"/>
          <w:highlight w:val="none"/>
          <w:u w:color="000000"/>
        </w:rPr>
      </w:pPr>
      <w:r>
        <w:rPr>
          <w:rFonts w:hint="eastAsia" w:ascii="宋体" w:hAnsi="宋体" w:eastAsia="宋体" w:cs="Times New Roman"/>
          <w:snapToGrid w:val="0"/>
          <w:color w:val="000000"/>
          <w:kern w:val="0"/>
          <w:sz w:val="28"/>
          <w:szCs w:val="28"/>
          <w:highlight w:val="none"/>
          <w:u w:color="000000"/>
        </w:rPr>
        <w:t>各评价单元所选用的评价方法情况见表4-1。</w:t>
      </w:r>
    </w:p>
    <w:p w14:paraId="3AB7E535">
      <w:pPr>
        <w:keepNext w:val="0"/>
        <w:keepLines w:val="0"/>
        <w:pageBreakBefore w:val="0"/>
        <w:widowControl w:val="0"/>
        <w:kinsoku/>
        <w:bidi w:val="0"/>
        <w:adjustRightInd w:val="0"/>
        <w:snapToGrid w:val="0"/>
        <w:spacing w:line="360" w:lineRule="auto"/>
        <w:jc w:val="center"/>
        <w:textAlignment w:val="baseline"/>
        <w:rPr>
          <w:rFonts w:ascii="黑体" w:hAnsi="黑体" w:eastAsia="黑体" w:cs="Times New Roman"/>
          <w:b/>
          <w:snapToGrid w:val="0"/>
          <w:color w:val="000000"/>
          <w:sz w:val="24"/>
          <w:szCs w:val="28"/>
          <w:highlight w:val="none"/>
          <w:u w:color="000000"/>
          <w:lang w:val="en-US" w:eastAsia="zh-CN" w:bidi="ar-SA"/>
        </w:rPr>
      </w:pPr>
      <w:r>
        <w:rPr>
          <w:rFonts w:hint="eastAsia" w:ascii="黑体" w:hAnsi="黑体" w:eastAsia="黑体" w:cs="Times New Roman"/>
          <w:b/>
          <w:snapToGrid w:val="0"/>
          <w:color w:val="000000"/>
          <w:sz w:val="24"/>
          <w:szCs w:val="28"/>
          <w:highlight w:val="none"/>
          <w:u w:color="000000"/>
          <w:lang w:val="en-US" w:eastAsia="zh-CN" w:bidi="ar-SA"/>
        </w:rPr>
        <w:t>表4-1  评价单元与选用评价方法对应表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0"/>
        <w:gridCol w:w="2560"/>
        <w:gridCol w:w="5158"/>
      </w:tblGrid>
      <w:tr w14:paraId="4DA2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160" w:type="dxa"/>
            <w:vAlign w:val="center"/>
          </w:tcPr>
          <w:p w14:paraId="447C5D81">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ascii="宋体" w:hAnsi="宋体" w:eastAsia="宋体" w:cs="Times New Roman"/>
                <w:b/>
                <w:color w:val="000000"/>
                <w:kern w:val="0"/>
                <w:szCs w:val="20"/>
                <w:highlight w:val="none"/>
                <w:u w:color="000000"/>
              </w:rPr>
            </w:pPr>
            <w:r>
              <w:rPr>
                <w:rFonts w:hint="eastAsia" w:ascii="宋体" w:hAnsi="宋体" w:eastAsia="宋体" w:cs="Times New Roman"/>
                <w:b/>
                <w:color w:val="000000"/>
                <w:kern w:val="0"/>
                <w:szCs w:val="20"/>
                <w:highlight w:val="none"/>
                <w:u w:color="000000"/>
              </w:rPr>
              <w:t>序号</w:t>
            </w:r>
          </w:p>
        </w:tc>
        <w:tc>
          <w:tcPr>
            <w:tcW w:w="2560" w:type="dxa"/>
            <w:vAlign w:val="center"/>
          </w:tcPr>
          <w:p w14:paraId="5E871DE3">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ascii="宋体" w:hAnsi="宋体" w:eastAsia="宋体" w:cs="Times New Roman"/>
                <w:b/>
                <w:color w:val="000000"/>
                <w:kern w:val="0"/>
                <w:szCs w:val="20"/>
                <w:highlight w:val="none"/>
                <w:u w:color="000000"/>
              </w:rPr>
            </w:pPr>
            <w:r>
              <w:rPr>
                <w:rFonts w:hint="eastAsia" w:ascii="宋体" w:hAnsi="宋体" w:eastAsia="宋体" w:cs="Times New Roman"/>
                <w:b/>
                <w:color w:val="000000"/>
                <w:kern w:val="0"/>
                <w:szCs w:val="20"/>
                <w:highlight w:val="none"/>
                <w:u w:color="000000"/>
              </w:rPr>
              <w:t>评价单元名称</w:t>
            </w:r>
          </w:p>
        </w:tc>
        <w:tc>
          <w:tcPr>
            <w:tcW w:w="5158" w:type="dxa"/>
            <w:vAlign w:val="center"/>
          </w:tcPr>
          <w:p w14:paraId="4CC2BA87">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ascii="宋体" w:hAnsi="宋体" w:eastAsia="宋体" w:cs="Times New Roman"/>
                <w:b/>
                <w:color w:val="000000"/>
                <w:kern w:val="0"/>
                <w:szCs w:val="20"/>
                <w:highlight w:val="none"/>
                <w:u w:color="000000"/>
              </w:rPr>
            </w:pPr>
            <w:r>
              <w:rPr>
                <w:rFonts w:hint="eastAsia" w:ascii="宋体" w:hAnsi="宋体" w:eastAsia="宋体" w:cs="Times New Roman"/>
                <w:b/>
                <w:color w:val="000000"/>
                <w:kern w:val="0"/>
                <w:szCs w:val="20"/>
                <w:highlight w:val="none"/>
                <w:u w:color="000000"/>
              </w:rPr>
              <w:t>采用的评价方法</w:t>
            </w:r>
          </w:p>
        </w:tc>
      </w:tr>
      <w:tr w14:paraId="40DB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jc w:val="center"/>
        </w:trPr>
        <w:tc>
          <w:tcPr>
            <w:tcW w:w="1160" w:type="dxa"/>
            <w:vAlign w:val="center"/>
          </w:tcPr>
          <w:p w14:paraId="7B99F5A2">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ascii="宋体" w:hAnsi="宋体" w:eastAsia="宋体" w:cs="Times New Roman"/>
                <w:color w:val="000000"/>
                <w:kern w:val="0"/>
                <w:szCs w:val="21"/>
                <w:highlight w:val="none"/>
                <w:u w:color="000000"/>
              </w:rPr>
            </w:pPr>
            <w:r>
              <w:rPr>
                <w:rFonts w:hint="eastAsia" w:ascii="宋体" w:hAnsi="宋体" w:eastAsia="宋体" w:cs="Times New Roman"/>
                <w:color w:val="000000"/>
                <w:kern w:val="0"/>
                <w:szCs w:val="21"/>
                <w:highlight w:val="none"/>
                <w:u w:color="000000"/>
              </w:rPr>
              <w:t>1</w:t>
            </w:r>
          </w:p>
        </w:tc>
        <w:tc>
          <w:tcPr>
            <w:tcW w:w="2560" w:type="dxa"/>
            <w:vAlign w:val="center"/>
          </w:tcPr>
          <w:p w14:paraId="5377FE8A">
            <w:pPr>
              <w:keepNext w:val="0"/>
              <w:keepLines w:val="0"/>
              <w:pageBreakBefore w:val="0"/>
              <w:widowControl/>
              <w:kinsoku/>
              <w:wordWrap/>
              <w:overflowPunct/>
              <w:topLinePunct w:val="0"/>
              <w:autoSpaceDE/>
              <w:autoSpaceDN/>
              <w:bidi w:val="0"/>
              <w:adjustRightInd/>
              <w:snapToGrid w:val="0"/>
              <w:spacing w:line="240" w:lineRule="auto"/>
              <w:jc w:val="center"/>
              <w:textAlignment w:val="center"/>
              <w:rPr>
                <w:rFonts w:ascii="宋体" w:hAnsi="Times New Roman" w:eastAsia="宋体" w:cs="Times New Roman"/>
                <w:color w:val="000000"/>
                <w:kern w:val="0"/>
                <w:szCs w:val="21"/>
                <w:highlight w:val="none"/>
                <w:u w:color="000000"/>
              </w:rPr>
            </w:pPr>
            <w:r>
              <w:rPr>
                <w:rFonts w:ascii="宋体" w:hAnsi="Times New Roman" w:eastAsia="宋体" w:cs="Times New Roman"/>
                <w:color w:val="000000"/>
                <w:spacing w:val="10"/>
                <w:kern w:val="0"/>
                <w:szCs w:val="21"/>
                <w:highlight w:val="none"/>
                <w:u w:color="000000"/>
              </w:rPr>
              <w:t>安全管理</w:t>
            </w:r>
          </w:p>
        </w:tc>
        <w:tc>
          <w:tcPr>
            <w:tcW w:w="5158" w:type="dxa"/>
            <w:vAlign w:val="center"/>
          </w:tcPr>
          <w:p w14:paraId="13FD7F65">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ascii="宋体" w:hAnsi="宋体" w:eastAsia="宋体" w:cs="Times New Roman"/>
                <w:color w:val="000000"/>
                <w:kern w:val="0"/>
                <w:szCs w:val="21"/>
                <w:highlight w:val="none"/>
                <w:u w:color="000000"/>
              </w:rPr>
            </w:pPr>
            <w:r>
              <w:rPr>
                <w:rFonts w:hint="eastAsia" w:ascii="宋体" w:hAnsi="宋体" w:eastAsia="宋体" w:cs="Times New Roman"/>
                <w:color w:val="000000"/>
                <w:kern w:val="0"/>
                <w:szCs w:val="21"/>
                <w:highlight w:val="none"/>
                <w:u w:color="000000"/>
              </w:rPr>
              <w:t>安全检查表</w:t>
            </w:r>
          </w:p>
        </w:tc>
      </w:tr>
      <w:tr w14:paraId="5EB28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jc w:val="center"/>
        </w:trPr>
        <w:tc>
          <w:tcPr>
            <w:tcW w:w="1160" w:type="dxa"/>
            <w:vAlign w:val="center"/>
          </w:tcPr>
          <w:p w14:paraId="4B7F7B06">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ascii="宋体" w:hAnsi="宋体" w:eastAsia="宋体" w:cs="Times New Roman"/>
                <w:color w:val="000000"/>
                <w:kern w:val="0"/>
                <w:szCs w:val="21"/>
                <w:highlight w:val="none"/>
                <w:u w:color="000000"/>
              </w:rPr>
            </w:pPr>
            <w:r>
              <w:rPr>
                <w:rFonts w:hint="eastAsia" w:ascii="宋体" w:hAnsi="宋体" w:eastAsia="宋体" w:cs="Times New Roman"/>
                <w:color w:val="000000"/>
                <w:kern w:val="0"/>
                <w:szCs w:val="21"/>
                <w:highlight w:val="none"/>
                <w:u w:color="000000"/>
              </w:rPr>
              <w:t>2</w:t>
            </w:r>
          </w:p>
        </w:tc>
        <w:tc>
          <w:tcPr>
            <w:tcW w:w="2560" w:type="dxa"/>
            <w:vAlign w:val="center"/>
          </w:tcPr>
          <w:p w14:paraId="43E0ECC2">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hint="eastAsia" w:ascii="宋体" w:hAnsi="Times New Roman" w:eastAsia="宋体" w:cs="Times New Roman"/>
                <w:color w:val="000000"/>
                <w:spacing w:val="10"/>
                <w:kern w:val="0"/>
                <w:szCs w:val="21"/>
                <w:highlight w:val="none"/>
                <w:u w:color="000000"/>
                <w:lang w:val="en-US" w:eastAsia="zh-CN"/>
              </w:rPr>
            </w:pPr>
            <w:r>
              <w:rPr>
                <w:rFonts w:hint="eastAsia" w:ascii="宋体" w:hAnsi="Times New Roman" w:eastAsia="宋体" w:cs="Times New Roman"/>
                <w:color w:val="000000"/>
                <w:spacing w:val="10"/>
                <w:kern w:val="0"/>
                <w:szCs w:val="21"/>
                <w:highlight w:val="none"/>
                <w:u w:color="000000"/>
                <w:lang w:val="en-US" w:eastAsia="zh-CN"/>
              </w:rPr>
              <w:t>储存条件</w:t>
            </w:r>
          </w:p>
        </w:tc>
        <w:tc>
          <w:tcPr>
            <w:tcW w:w="5158" w:type="dxa"/>
            <w:vAlign w:val="center"/>
          </w:tcPr>
          <w:p w14:paraId="320E4ACD">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Times New Roman" w:hAnsi="Times New Roman" w:eastAsia="宋体" w:cs="Times New Roman"/>
                <w:color w:val="000000"/>
                <w:kern w:val="2"/>
                <w:sz w:val="21"/>
                <w:szCs w:val="21"/>
                <w:highlight w:val="none"/>
                <w:u w:color="000000"/>
                <w:lang w:val="en-US" w:eastAsia="zh-CN" w:bidi="ar-SA"/>
              </w:rPr>
            </w:pPr>
            <w:r>
              <w:rPr>
                <w:rFonts w:hint="eastAsia" w:ascii="Times New Roman" w:hAnsi="Times New Roman" w:eastAsia="宋体" w:cs="Times New Roman"/>
                <w:color w:val="000000"/>
                <w:kern w:val="2"/>
                <w:sz w:val="21"/>
                <w:szCs w:val="21"/>
                <w:highlight w:val="none"/>
                <w:u w:color="000000"/>
                <w:lang w:val="en-US" w:eastAsia="zh-CN" w:bidi="ar-SA"/>
              </w:rPr>
              <w:t>安全检查表</w:t>
            </w:r>
            <w:r>
              <w:rPr>
                <w:rFonts w:hint="eastAsia" w:ascii="Times New Roman" w:hAnsi="Times New Roman" w:eastAsia="宋体" w:cs="Times New Roman"/>
                <w:color w:val="000000"/>
                <w:kern w:val="2"/>
                <w:sz w:val="21"/>
                <w:u w:color="000000"/>
                <w:lang w:val="en-US" w:eastAsia="zh-CN" w:bidi="ar-SA"/>
              </w:rPr>
              <w:t>、</w:t>
            </w:r>
            <w:r>
              <w:rPr>
                <w:rFonts w:hint="eastAsia" w:ascii="宋体" w:hAnsi="宋体" w:eastAsia="宋体" w:cs="Times New Roman"/>
                <w:color w:val="000000"/>
                <w:kern w:val="2"/>
                <w:sz w:val="21"/>
                <w:szCs w:val="21"/>
                <w:u w:color="000000"/>
                <w:lang w:val="en-US" w:eastAsia="zh-CN" w:bidi="ar-SA"/>
              </w:rPr>
              <w:t>预先危险性分析</w:t>
            </w:r>
          </w:p>
        </w:tc>
      </w:tr>
      <w:tr w14:paraId="4810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1160" w:type="dxa"/>
            <w:vAlign w:val="center"/>
          </w:tcPr>
          <w:p w14:paraId="7E2ECDF5">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ascii="宋体" w:hAnsi="宋体" w:eastAsia="宋体" w:cs="Times New Roman"/>
                <w:color w:val="000000"/>
                <w:kern w:val="0"/>
                <w:szCs w:val="21"/>
                <w:highlight w:val="none"/>
                <w:u w:color="000000"/>
              </w:rPr>
            </w:pPr>
            <w:r>
              <w:rPr>
                <w:rFonts w:hint="eastAsia" w:ascii="宋体" w:hAnsi="宋体" w:eastAsia="宋体" w:cs="Times New Roman"/>
                <w:color w:val="000000"/>
                <w:kern w:val="0"/>
                <w:szCs w:val="21"/>
                <w:highlight w:val="none"/>
                <w:u w:color="000000"/>
              </w:rPr>
              <w:t>3</w:t>
            </w:r>
          </w:p>
        </w:tc>
        <w:tc>
          <w:tcPr>
            <w:tcW w:w="2560" w:type="dxa"/>
            <w:vAlign w:val="center"/>
          </w:tcPr>
          <w:p w14:paraId="10EEEE3B">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hint="default" w:ascii="宋体" w:hAnsi="Times New Roman" w:eastAsia="宋体" w:cs="Times New Roman"/>
                <w:color w:val="000000"/>
                <w:spacing w:val="10"/>
                <w:kern w:val="0"/>
                <w:szCs w:val="21"/>
                <w:highlight w:val="none"/>
                <w:u w:color="000000"/>
                <w:lang w:val="en-US" w:eastAsia="zh-CN"/>
              </w:rPr>
            </w:pPr>
            <w:r>
              <w:rPr>
                <w:rFonts w:hint="eastAsia" w:ascii="宋体" w:hAnsi="Times New Roman" w:eastAsia="宋体" w:cs="Times New Roman"/>
                <w:color w:val="000000"/>
                <w:spacing w:val="10"/>
                <w:kern w:val="0"/>
                <w:szCs w:val="21"/>
                <w:highlight w:val="none"/>
                <w:u w:color="000000"/>
                <w:lang w:val="en-US" w:eastAsia="zh-CN"/>
              </w:rPr>
              <w:t>经营管理</w:t>
            </w:r>
          </w:p>
        </w:tc>
        <w:tc>
          <w:tcPr>
            <w:tcW w:w="5158" w:type="dxa"/>
            <w:vAlign w:val="center"/>
          </w:tcPr>
          <w:p w14:paraId="479A9D04">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ascii="宋体" w:hAnsi="宋体" w:eastAsia="宋体" w:cs="Times New Roman"/>
                <w:color w:val="000000"/>
                <w:kern w:val="0"/>
                <w:szCs w:val="21"/>
                <w:highlight w:val="none"/>
                <w:u w:color="000000"/>
              </w:rPr>
            </w:pPr>
            <w:r>
              <w:rPr>
                <w:rFonts w:hint="eastAsia" w:ascii="宋体" w:hAnsi="宋体" w:eastAsia="宋体" w:cs="Times New Roman"/>
                <w:color w:val="000000"/>
                <w:kern w:val="0"/>
                <w:szCs w:val="21"/>
                <w:highlight w:val="none"/>
                <w:u w:color="000000"/>
              </w:rPr>
              <w:t>安全检查表</w:t>
            </w:r>
          </w:p>
        </w:tc>
      </w:tr>
      <w:tr w14:paraId="2D9D8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160" w:type="dxa"/>
            <w:vAlign w:val="center"/>
          </w:tcPr>
          <w:p w14:paraId="17E3FC28">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ascii="宋体" w:hAnsi="宋体" w:eastAsia="宋体" w:cs="Times New Roman"/>
                <w:color w:val="000000"/>
                <w:kern w:val="0"/>
                <w:szCs w:val="21"/>
                <w:highlight w:val="none"/>
                <w:u w:color="000000"/>
              </w:rPr>
            </w:pPr>
            <w:r>
              <w:rPr>
                <w:rFonts w:hint="eastAsia" w:ascii="宋体" w:hAnsi="宋体" w:eastAsia="宋体" w:cs="Times New Roman"/>
                <w:color w:val="000000"/>
                <w:kern w:val="0"/>
                <w:szCs w:val="21"/>
                <w:highlight w:val="none"/>
                <w:u w:color="000000"/>
              </w:rPr>
              <w:t>4</w:t>
            </w:r>
          </w:p>
        </w:tc>
        <w:tc>
          <w:tcPr>
            <w:tcW w:w="2560" w:type="dxa"/>
            <w:vAlign w:val="center"/>
          </w:tcPr>
          <w:p w14:paraId="44FDF775">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hint="default" w:ascii="宋体" w:hAnsi="Times New Roman" w:eastAsia="宋体" w:cs="Times New Roman"/>
                <w:color w:val="000000"/>
                <w:spacing w:val="10"/>
                <w:kern w:val="0"/>
                <w:szCs w:val="21"/>
                <w:highlight w:val="none"/>
                <w:u w:color="000000"/>
                <w:lang w:val="en-US" w:eastAsia="zh-CN"/>
              </w:rPr>
            </w:pPr>
            <w:r>
              <w:rPr>
                <w:rFonts w:hint="eastAsia" w:ascii="宋体" w:hAnsi="Times New Roman" w:eastAsia="宋体" w:cs="Times New Roman"/>
                <w:color w:val="000000"/>
                <w:spacing w:val="10"/>
                <w:kern w:val="0"/>
                <w:szCs w:val="21"/>
                <w:highlight w:val="none"/>
                <w:u w:color="000000"/>
                <w:lang w:val="en-US" w:eastAsia="zh-CN"/>
              </w:rPr>
              <w:t>消防安全及电气设备</w:t>
            </w:r>
          </w:p>
        </w:tc>
        <w:tc>
          <w:tcPr>
            <w:tcW w:w="5158" w:type="dxa"/>
            <w:vAlign w:val="center"/>
          </w:tcPr>
          <w:p w14:paraId="256A5BE3">
            <w:pPr>
              <w:keepNext w:val="0"/>
              <w:keepLines w:val="0"/>
              <w:pageBreakBefore w:val="0"/>
              <w:widowControl/>
              <w:kinsoku/>
              <w:wordWrap/>
              <w:overflowPunct/>
              <w:topLinePunct w:val="0"/>
              <w:autoSpaceDE/>
              <w:autoSpaceDN/>
              <w:bidi w:val="0"/>
              <w:adjustRightInd/>
              <w:snapToGrid w:val="0"/>
              <w:spacing w:line="240" w:lineRule="auto"/>
              <w:jc w:val="center"/>
              <w:textAlignment w:val="baseline"/>
              <w:rPr>
                <w:rFonts w:hint="eastAsia" w:ascii="宋体" w:hAnsi="宋体" w:eastAsia="宋体" w:cs="Times New Roman"/>
                <w:color w:val="000000"/>
                <w:kern w:val="0"/>
                <w:szCs w:val="21"/>
                <w:highlight w:val="none"/>
                <w:u w:color="000000"/>
                <w:lang w:eastAsia="zh-CN"/>
              </w:rPr>
            </w:pPr>
            <w:r>
              <w:rPr>
                <w:rFonts w:hint="eastAsia" w:ascii="宋体" w:hAnsi="宋体" w:eastAsia="宋体" w:cs="Times New Roman"/>
                <w:color w:val="000000"/>
                <w:kern w:val="0"/>
                <w:szCs w:val="21"/>
                <w:highlight w:val="none"/>
                <w:u w:color="000000"/>
              </w:rPr>
              <w:t>安全检查表</w:t>
            </w:r>
            <w:r>
              <w:rPr>
                <w:rFonts w:hint="eastAsia" w:ascii="宋体" w:hAnsi="宋体" w:eastAsia="宋体" w:cs="Times New Roman"/>
                <w:color w:val="000000"/>
                <w:kern w:val="0"/>
                <w:szCs w:val="21"/>
                <w:highlight w:val="none"/>
                <w:u w:color="000000"/>
                <w:lang w:eastAsia="zh-CN"/>
              </w:rPr>
              <w:t>、</w:t>
            </w:r>
            <w:r>
              <w:rPr>
                <w:rFonts w:hint="eastAsia" w:ascii="宋体" w:hAnsi="宋体" w:eastAsia="宋体" w:cs="Times New Roman"/>
                <w:color w:val="000000"/>
                <w:kern w:val="0"/>
                <w:szCs w:val="21"/>
                <w:u w:color="000000"/>
              </w:rPr>
              <w:t>预先危险性分析</w:t>
            </w:r>
          </w:p>
        </w:tc>
      </w:tr>
    </w:tbl>
    <w:p w14:paraId="515C80F8">
      <w:pPr>
        <w:pStyle w:val="2"/>
        <w:rPr>
          <w:rFonts w:hint="default"/>
          <w:lang w:val="en-US" w:eastAsia="zh-CN"/>
        </w:rPr>
      </w:pPr>
    </w:p>
    <w:p w14:paraId="3E092476">
      <w:pPr>
        <w:pStyle w:val="2"/>
        <w:rPr>
          <w:rFonts w:hint="default"/>
          <w:lang w:val="en-US" w:eastAsia="zh-CN"/>
        </w:rPr>
      </w:pPr>
    </w:p>
    <w:p w14:paraId="0DB25329">
      <w:pPr>
        <w:pStyle w:val="2"/>
        <w:rPr>
          <w:rFonts w:hint="default"/>
          <w:lang w:val="en-US" w:eastAsia="zh-CN"/>
        </w:rPr>
      </w:pPr>
    </w:p>
    <w:p w14:paraId="5D4E03D4">
      <w:pPr>
        <w:rPr>
          <w:rFonts w:hint="eastAsia" w:ascii="黑体" w:hAnsi="Times New Roman" w:eastAsia="黑体" w:cs="Times New Roman"/>
          <w:b/>
          <w:snapToGrid w:val="0"/>
          <w:color w:val="000000"/>
          <w:spacing w:val="0"/>
          <w:kern w:val="0"/>
          <w:sz w:val="32"/>
          <w:szCs w:val="32"/>
          <w:highlight w:val="none"/>
          <w:u w:color="000000"/>
          <w:lang w:val="en-US" w:eastAsia="zh-CN" w:bidi="ar-SA"/>
        </w:rPr>
      </w:pPr>
      <w:bookmarkStart w:id="23" w:name="_Toc4989"/>
      <w:r>
        <w:rPr>
          <w:rFonts w:hint="eastAsia" w:ascii="黑体" w:hAnsi="Times New Roman" w:eastAsia="黑体" w:cs="Times New Roman"/>
          <w:b/>
          <w:snapToGrid w:val="0"/>
          <w:color w:val="000000"/>
          <w:spacing w:val="0"/>
          <w:kern w:val="0"/>
          <w:sz w:val="32"/>
          <w:szCs w:val="32"/>
          <w:highlight w:val="none"/>
          <w:u w:color="000000"/>
          <w:lang w:val="en-US" w:eastAsia="zh-CN" w:bidi="ar-SA"/>
        </w:rPr>
        <w:br w:type="page"/>
      </w:r>
    </w:p>
    <w:p w14:paraId="79E35A69">
      <w:pPr>
        <w:keepNext w:val="0"/>
        <w:keepLines w:val="0"/>
        <w:pageBreakBefore w:val="0"/>
        <w:widowControl w:val="0"/>
        <w:kinsoku/>
        <w:bidi w:val="0"/>
        <w:adjustRightInd w:val="0"/>
        <w:snapToGrid w:val="0"/>
        <w:spacing w:line="360" w:lineRule="auto"/>
        <w:jc w:val="center"/>
        <w:textAlignment w:val="auto"/>
        <w:outlineLvl w:val="0"/>
        <w:rPr>
          <w:rFonts w:hint="eastAsia" w:ascii="黑体" w:hAnsi="Times New Roman" w:eastAsia="黑体" w:cs="Times New Roman"/>
          <w:b/>
          <w:snapToGrid w:val="0"/>
          <w:color w:val="000000"/>
          <w:spacing w:val="0"/>
          <w:kern w:val="0"/>
          <w:sz w:val="32"/>
          <w:szCs w:val="32"/>
          <w:highlight w:val="none"/>
          <w:u w:color="000000"/>
          <w:lang w:val="en-US" w:eastAsia="zh-CN" w:bidi="ar-SA"/>
        </w:rPr>
      </w:pPr>
      <w:r>
        <w:rPr>
          <w:rFonts w:hint="eastAsia" w:ascii="黑体" w:hAnsi="Times New Roman" w:eastAsia="黑体" w:cs="Times New Roman"/>
          <w:b/>
          <w:snapToGrid w:val="0"/>
          <w:color w:val="000000"/>
          <w:spacing w:val="0"/>
          <w:kern w:val="0"/>
          <w:sz w:val="32"/>
          <w:szCs w:val="32"/>
          <w:highlight w:val="none"/>
          <w:u w:color="000000"/>
          <w:lang w:val="en-US" w:eastAsia="zh-CN" w:bidi="ar-SA"/>
        </w:rPr>
        <w:t>第七章 对策措施及建议</w:t>
      </w:r>
      <w:bookmarkEnd w:id="23"/>
    </w:p>
    <w:p w14:paraId="47A6A44A">
      <w:pPr>
        <w:keepNext w:val="0"/>
        <w:keepLines w:val="0"/>
        <w:pageBreakBefore w:val="0"/>
        <w:widowControl w:val="0"/>
        <w:kinsoku/>
        <w:wordWrap/>
        <w:overflowPunct/>
        <w:topLinePunct w:val="0"/>
        <w:autoSpaceDE/>
        <w:autoSpaceDN/>
        <w:bidi w:val="0"/>
        <w:adjustRightInd w:val="0"/>
        <w:snapToGrid w:val="0"/>
        <w:spacing w:before="0" w:beforeLines="100" w:line="360" w:lineRule="auto"/>
        <w:ind w:right="0"/>
        <w:jc w:val="center"/>
        <w:textAlignment w:val="auto"/>
        <w:outlineLvl w:val="2"/>
        <w:rPr>
          <w:rFonts w:hint="eastAsia" w:ascii="楷体_GB2312" w:hAnsi="Times New Roman" w:eastAsia="楷体_GB2312" w:cs="Times New Roman"/>
          <w:snapToGrid w:val="0"/>
          <w:color w:val="000000"/>
          <w:kern w:val="0"/>
          <w:sz w:val="28"/>
          <w:highlight w:val="none"/>
          <w:u w:color="000000"/>
          <w:lang w:val="en-US" w:eastAsia="zh-CN" w:bidi="ar-SA"/>
        </w:rPr>
      </w:pPr>
      <w:bookmarkStart w:id="24" w:name="_Toc28845"/>
      <w:r>
        <w:rPr>
          <w:rFonts w:hint="eastAsia" w:ascii="楷体_GB2312" w:hAnsi="Arial" w:eastAsia="楷体_GB2312" w:cs="Times New Roman"/>
          <w:b/>
          <w:snapToGrid w:val="0"/>
          <w:color w:val="000000"/>
          <w:kern w:val="0"/>
          <w:sz w:val="32"/>
          <w:highlight w:val="none"/>
          <w:u w:color="000000"/>
          <w:lang w:val="en-US" w:eastAsia="zh-CN" w:bidi="ar-SA"/>
        </w:rPr>
        <w:t>第一节  存在问题及整改建议</w:t>
      </w:r>
      <w:bookmarkEnd w:id="24"/>
    </w:p>
    <w:p w14:paraId="6F9DC8E7">
      <w:pPr>
        <w:keepNext w:val="0"/>
        <w:keepLines w:val="0"/>
        <w:pageBreakBefore w:val="0"/>
        <w:widowControl w:val="0"/>
        <w:kinsoku/>
        <w:bidi w:val="0"/>
        <w:adjustRightInd w:val="0"/>
        <w:snapToGrid w:val="0"/>
        <w:spacing w:line="360" w:lineRule="auto"/>
        <w:ind w:firstLine="560" w:firstLineChars="200"/>
        <w:textAlignment w:val="auto"/>
        <w:rPr>
          <w:rFonts w:ascii="宋体" w:hAnsi="宋体" w:eastAsia="宋体" w:cs="Times New Roman"/>
          <w:snapToGrid w:val="0"/>
          <w:color w:val="000000"/>
          <w:kern w:val="0"/>
          <w:sz w:val="28"/>
          <w:szCs w:val="28"/>
          <w:highlight w:val="none"/>
          <w:u w:color="000000"/>
        </w:rPr>
      </w:pPr>
      <w:r>
        <w:rPr>
          <w:rFonts w:hint="eastAsia" w:ascii="宋体" w:hAnsi="宋体" w:eastAsia="宋体" w:cs="Times New Roman"/>
          <w:snapToGrid w:val="0"/>
          <w:color w:val="000000"/>
          <w:kern w:val="0"/>
          <w:sz w:val="28"/>
          <w:szCs w:val="28"/>
          <w:highlight w:val="none"/>
          <w:u w:color="000000"/>
        </w:rPr>
        <w:t>本次安全评价过程中，</w:t>
      </w:r>
      <w:r>
        <w:rPr>
          <w:rFonts w:ascii="宋体" w:hAnsi="宋体" w:eastAsia="宋体" w:cs="Times New Roman"/>
          <w:snapToGrid w:val="0"/>
          <w:color w:val="000000"/>
          <w:kern w:val="0"/>
          <w:sz w:val="28"/>
          <w:szCs w:val="28"/>
          <w:highlight w:val="none"/>
          <w:u w:color="000000"/>
        </w:rPr>
        <w:t>通过现场检查和审阅有关资料，发现</w:t>
      </w:r>
      <w:r>
        <w:rPr>
          <w:rFonts w:hint="eastAsia" w:ascii="宋体" w:hAnsi="宋体" w:eastAsia="宋体" w:cs="Times New Roman"/>
          <w:snapToGrid w:val="0"/>
          <w:color w:val="000000"/>
          <w:kern w:val="0"/>
          <w:sz w:val="28"/>
          <w:szCs w:val="28"/>
          <w:highlight w:val="none"/>
          <w:u w:color="000000"/>
          <w:lang w:val="en-US" w:eastAsia="zh-CN"/>
        </w:rPr>
        <w:t>山东漆谷新材料有限公司</w:t>
      </w:r>
      <w:r>
        <w:rPr>
          <w:rFonts w:hint="eastAsia" w:ascii="宋体" w:hAnsi="宋体" w:eastAsia="宋体" w:cs="Times New Roman"/>
          <w:snapToGrid w:val="0"/>
          <w:color w:val="000000"/>
          <w:kern w:val="0"/>
          <w:sz w:val="28"/>
          <w:szCs w:val="28"/>
          <w:highlight w:val="none"/>
          <w:u w:color="000000"/>
        </w:rPr>
        <w:t>的设备设施、安全管理条件，尚有与</w:t>
      </w:r>
      <w:r>
        <w:rPr>
          <w:rFonts w:ascii="宋体" w:hAnsi="宋体" w:eastAsia="宋体" w:cs="Times New Roman"/>
          <w:snapToGrid w:val="0"/>
          <w:color w:val="000000"/>
          <w:kern w:val="0"/>
          <w:sz w:val="28"/>
          <w:szCs w:val="28"/>
          <w:highlight w:val="none"/>
          <w:u w:color="000000"/>
        </w:rPr>
        <w:t>有关</w:t>
      </w:r>
      <w:r>
        <w:rPr>
          <w:rFonts w:hint="eastAsia" w:ascii="宋体" w:hAnsi="宋体" w:eastAsia="宋体" w:cs="Times New Roman"/>
          <w:snapToGrid w:val="0"/>
          <w:color w:val="000000"/>
          <w:kern w:val="0"/>
          <w:sz w:val="28"/>
          <w:szCs w:val="28"/>
          <w:highlight w:val="none"/>
          <w:u w:color="000000"/>
        </w:rPr>
        <w:t>法规、</w:t>
      </w:r>
      <w:r>
        <w:rPr>
          <w:rFonts w:ascii="宋体" w:hAnsi="宋体" w:eastAsia="宋体" w:cs="Times New Roman"/>
          <w:snapToGrid w:val="0"/>
          <w:color w:val="000000"/>
          <w:kern w:val="0"/>
          <w:sz w:val="28"/>
          <w:szCs w:val="28"/>
          <w:highlight w:val="none"/>
          <w:u w:color="000000"/>
        </w:rPr>
        <w:t>规范</w:t>
      </w:r>
      <w:r>
        <w:rPr>
          <w:rFonts w:hint="eastAsia" w:ascii="宋体" w:hAnsi="宋体" w:eastAsia="宋体" w:cs="Times New Roman"/>
          <w:snapToGrid w:val="0"/>
          <w:color w:val="000000"/>
          <w:kern w:val="0"/>
          <w:sz w:val="28"/>
          <w:szCs w:val="28"/>
          <w:highlight w:val="none"/>
          <w:u w:color="000000"/>
        </w:rPr>
        <w:t>和标准</w:t>
      </w:r>
      <w:r>
        <w:rPr>
          <w:rFonts w:ascii="宋体" w:hAnsi="宋体" w:eastAsia="宋体" w:cs="Times New Roman"/>
          <w:snapToGrid w:val="0"/>
          <w:color w:val="000000"/>
          <w:kern w:val="0"/>
          <w:sz w:val="28"/>
          <w:szCs w:val="28"/>
          <w:highlight w:val="none"/>
          <w:u w:color="000000"/>
        </w:rPr>
        <w:t>的要求存在差距</w:t>
      </w:r>
      <w:r>
        <w:rPr>
          <w:rFonts w:hint="eastAsia" w:ascii="宋体" w:hAnsi="宋体" w:eastAsia="宋体" w:cs="Times New Roman"/>
          <w:snapToGrid w:val="0"/>
          <w:color w:val="000000"/>
          <w:kern w:val="0"/>
          <w:sz w:val="28"/>
          <w:szCs w:val="28"/>
          <w:highlight w:val="none"/>
          <w:u w:color="000000"/>
        </w:rPr>
        <w:t>之处，</w:t>
      </w:r>
      <w:r>
        <w:rPr>
          <w:rFonts w:hint="eastAsia" w:ascii="宋体" w:hAnsi="宋体" w:eastAsia="宋体" w:cs="Times New Roman"/>
          <w:snapToGrid w:val="0"/>
          <w:color w:val="000000"/>
          <w:kern w:val="0"/>
          <w:sz w:val="28"/>
          <w:szCs w:val="28"/>
          <w:highlight w:val="none"/>
          <w:u w:color="000000"/>
          <w:lang w:val="en-US" w:eastAsia="zh-CN"/>
        </w:rPr>
        <w:t>山东漆谷新材料有限公司</w:t>
      </w:r>
      <w:r>
        <w:rPr>
          <w:rFonts w:hint="eastAsia" w:ascii="宋体" w:hAnsi="宋体" w:eastAsia="宋体" w:cs="Times New Roman"/>
          <w:snapToGrid w:val="0"/>
          <w:color w:val="000000"/>
          <w:kern w:val="0"/>
          <w:sz w:val="28"/>
          <w:szCs w:val="28"/>
          <w:highlight w:val="none"/>
          <w:u w:color="000000"/>
        </w:rPr>
        <w:t>应该按照有关规定、规范和标准的要求对存在的问题进行整改。存在的问题、建议整改措施</w:t>
      </w:r>
      <w:r>
        <w:rPr>
          <w:rFonts w:ascii="宋体" w:hAnsi="宋体" w:eastAsia="宋体" w:cs="Times New Roman"/>
          <w:snapToGrid w:val="0"/>
          <w:color w:val="000000"/>
          <w:kern w:val="0"/>
          <w:sz w:val="28"/>
          <w:szCs w:val="28"/>
          <w:highlight w:val="none"/>
          <w:u w:color="000000"/>
        </w:rPr>
        <w:t>如</w:t>
      </w:r>
      <w:r>
        <w:rPr>
          <w:rFonts w:hint="eastAsia" w:ascii="宋体" w:hAnsi="宋体" w:eastAsia="宋体" w:cs="Times New Roman"/>
          <w:snapToGrid w:val="0"/>
          <w:color w:val="000000"/>
          <w:kern w:val="0"/>
          <w:sz w:val="28"/>
          <w:szCs w:val="28"/>
          <w:highlight w:val="none"/>
          <w:u w:color="000000"/>
        </w:rPr>
        <w:t>表7-1。</w:t>
      </w:r>
    </w:p>
    <w:p w14:paraId="3AE93C34">
      <w:pPr>
        <w:keepNext w:val="0"/>
        <w:keepLines w:val="0"/>
        <w:pageBreakBefore w:val="0"/>
        <w:widowControl w:val="0"/>
        <w:kinsoku/>
        <w:bidi w:val="0"/>
        <w:adjustRightInd w:val="0"/>
        <w:snapToGrid w:val="0"/>
        <w:spacing w:line="360" w:lineRule="auto"/>
        <w:jc w:val="center"/>
        <w:textAlignment w:val="baseline"/>
        <w:rPr>
          <w:rFonts w:ascii="黑体" w:hAnsi="黑体" w:eastAsia="黑体" w:cs="Times New Roman"/>
          <w:b/>
          <w:snapToGrid w:val="0"/>
          <w:color w:val="000000"/>
          <w:sz w:val="24"/>
          <w:szCs w:val="28"/>
          <w:highlight w:val="none"/>
          <w:u w:color="000000"/>
          <w:lang w:val="en-US" w:eastAsia="zh-CN" w:bidi="ar-SA"/>
        </w:rPr>
      </w:pPr>
      <w:r>
        <w:rPr>
          <w:rFonts w:hint="eastAsia" w:ascii="黑体" w:hAnsi="黑体" w:eastAsia="黑体" w:cs="Times New Roman"/>
          <w:b/>
          <w:snapToGrid w:val="0"/>
          <w:color w:val="000000"/>
          <w:sz w:val="24"/>
          <w:szCs w:val="28"/>
          <w:highlight w:val="none"/>
          <w:u w:color="000000"/>
          <w:lang w:val="en-US" w:eastAsia="zh-CN" w:bidi="ar-SA"/>
        </w:rPr>
        <w:t>表7-1 存在的问题及整改建议一览表</w:t>
      </w:r>
    </w:p>
    <w:tbl>
      <w:tblPr>
        <w:tblStyle w:val="5"/>
        <w:tblW w:w="4996"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57" w:type="dxa"/>
          <w:left w:w="57" w:type="dxa"/>
          <w:bottom w:w="57" w:type="dxa"/>
          <w:right w:w="57" w:type="dxa"/>
        </w:tblCellMar>
      </w:tblPr>
      <w:tblGrid>
        <w:gridCol w:w="468"/>
        <w:gridCol w:w="3471"/>
        <w:gridCol w:w="1816"/>
        <w:gridCol w:w="3424"/>
      </w:tblGrid>
      <w:tr w14:paraId="64969CC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57" w:type="dxa"/>
            <w:bottom w:w="57" w:type="dxa"/>
            <w:right w:w="57" w:type="dxa"/>
          </w:tblCellMar>
        </w:tblPrEx>
        <w:trPr>
          <w:trHeight w:val="90" w:hRule="atLeast"/>
          <w:jc w:val="center"/>
        </w:trPr>
        <w:tc>
          <w:tcPr>
            <w:tcW w:w="255" w:type="pct"/>
            <w:tcBorders>
              <w:top w:val="single" w:color="000000" w:sz="12" w:space="0"/>
            </w:tcBorders>
            <w:vAlign w:val="center"/>
          </w:tcPr>
          <w:p w14:paraId="4B6CEE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ascii="宋体" w:hAnsi="Times New Roman" w:eastAsia="宋体" w:cs="Times New Roman"/>
                <w:snapToGrid w:val="0"/>
                <w:color w:val="000000"/>
                <w:kern w:val="0"/>
                <w:sz w:val="21"/>
                <w:szCs w:val="21"/>
                <w:highlight w:val="none"/>
                <w:u w:color="000000"/>
              </w:rPr>
            </w:pPr>
            <w:r>
              <w:rPr>
                <w:rFonts w:hint="eastAsia" w:ascii="宋体" w:hAnsi="宋体" w:eastAsia="宋体" w:cs="宋体"/>
                <w:snapToGrid w:val="0"/>
                <w:color w:val="000000"/>
                <w:kern w:val="0"/>
                <w:sz w:val="21"/>
                <w:szCs w:val="21"/>
                <w:highlight w:val="none"/>
                <w:u w:color="000000"/>
              </w:rPr>
              <w:t>序号</w:t>
            </w:r>
          </w:p>
        </w:tc>
        <w:tc>
          <w:tcPr>
            <w:tcW w:w="1890" w:type="pct"/>
            <w:tcBorders>
              <w:top w:val="single" w:color="000000" w:sz="12" w:space="0"/>
            </w:tcBorders>
            <w:vAlign w:val="center"/>
          </w:tcPr>
          <w:p w14:paraId="482F342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ascii="宋体" w:hAnsi="Times New Roman" w:eastAsia="宋体" w:cs="Times New Roman"/>
                <w:snapToGrid w:val="0"/>
                <w:color w:val="000000"/>
                <w:kern w:val="0"/>
                <w:sz w:val="21"/>
                <w:szCs w:val="21"/>
                <w:highlight w:val="none"/>
                <w:u w:color="000000"/>
              </w:rPr>
            </w:pPr>
            <w:r>
              <w:rPr>
                <w:rFonts w:hint="eastAsia" w:ascii="宋体" w:hAnsi="宋体" w:eastAsia="宋体" w:cs="宋体"/>
                <w:snapToGrid w:val="0"/>
                <w:color w:val="000000"/>
                <w:kern w:val="0"/>
                <w:sz w:val="21"/>
                <w:szCs w:val="21"/>
                <w:highlight w:val="none"/>
                <w:u w:color="000000"/>
              </w:rPr>
              <w:t>存在的主要问题或隐患</w:t>
            </w:r>
          </w:p>
        </w:tc>
        <w:tc>
          <w:tcPr>
            <w:tcW w:w="989" w:type="pct"/>
            <w:tcBorders>
              <w:top w:val="single" w:color="000000" w:sz="12" w:space="0"/>
            </w:tcBorders>
            <w:vAlign w:val="center"/>
          </w:tcPr>
          <w:p w14:paraId="219AF81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eastAsia" w:ascii="宋体" w:hAnsi="宋体" w:eastAsia="宋体" w:cs="宋体"/>
                <w:snapToGrid w:val="0"/>
                <w:color w:val="000000"/>
                <w:kern w:val="0"/>
                <w:sz w:val="21"/>
                <w:szCs w:val="21"/>
                <w:highlight w:val="none"/>
                <w:u w:color="000000"/>
                <w:lang w:val="en-US" w:eastAsia="zh-CN"/>
              </w:rPr>
            </w:pPr>
            <w:r>
              <w:rPr>
                <w:rFonts w:hint="eastAsia" w:ascii="宋体" w:hAnsi="宋体" w:eastAsia="宋体" w:cs="宋体"/>
                <w:snapToGrid w:val="0"/>
                <w:color w:val="000000"/>
                <w:kern w:val="0"/>
                <w:sz w:val="21"/>
                <w:szCs w:val="21"/>
                <w:highlight w:val="none"/>
                <w:u w:color="000000"/>
                <w:lang w:val="en-US" w:eastAsia="zh-CN"/>
              </w:rPr>
              <w:t>依据</w:t>
            </w:r>
          </w:p>
        </w:tc>
        <w:tc>
          <w:tcPr>
            <w:tcW w:w="1864" w:type="pct"/>
            <w:tcBorders>
              <w:top w:val="single" w:color="000000" w:sz="12" w:space="0"/>
            </w:tcBorders>
            <w:vAlign w:val="center"/>
          </w:tcPr>
          <w:p w14:paraId="61DD588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ascii="宋体" w:hAnsi="Times New Roman" w:eastAsia="宋体" w:cs="Times New Roman"/>
                <w:snapToGrid w:val="0"/>
                <w:color w:val="000000"/>
                <w:kern w:val="0"/>
                <w:sz w:val="21"/>
                <w:szCs w:val="21"/>
                <w:highlight w:val="none"/>
                <w:u w:color="000000"/>
              </w:rPr>
            </w:pPr>
            <w:r>
              <w:rPr>
                <w:rFonts w:hint="eastAsia" w:ascii="宋体" w:hAnsi="宋体" w:eastAsia="宋体" w:cs="宋体"/>
                <w:snapToGrid w:val="0"/>
                <w:color w:val="000000"/>
                <w:kern w:val="0"/>
                <w:sz w:val="21"/>
                <w:szCs w:val="21"/>
                <w:highlight w:val="none"/>
                <w:u w:color="993300"/>
              </w:rPr>
              <w:t>整改建议措施</w:t>
            </w:r>
          </w:p>
        </w:tc>
      </w:tr>
      <w:tr w14:paraId="604EAC1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57" w:type="dxa"/>
            <w:bottom w:w="57" w:type="dxa"/>
            <w:right w:w="57" w:type="dxa"/>
          </w:tblCellMar>
        </w:tblPrEx>
        <w:trPr>
          <w:trHeight w:val="90" w:hRule="atLeast"/>
          <w:jc w:val="center"/>
        </w:trPr>
        <w:tc>
          <w:tcPr>
            <w:tcW w:w="255" w:type="pct"/>
            <w:vAlign w:val="center"/>
          </w:tcPr>
          <w:p w14:paraId="580A3A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default" w:ascii="宋体" w:hAnsi="Times New Roman" w:eastAsia="宋体" w:cs="Times New Roman"/>
                <w:snapToGrid w:val="0"/>
                <w:color w:val="000000"/>
                <w:kern w:val="0"/>
                <w:sz w:val="21"/>
                <w:szCs w:val="21"/>
                <w:highlight w:val="none"/>
                <w:u w:color="000000"/>
                <w:lang w:val="en-US" w:eastAsia="zh-CN"/>
              </w:rPr>
            </w:pPr>
            <w:r>
              <w:rPr>
                <w:rFonts w:hint="eastAsia" w:ascii="宋体" w:hAnsi="Times New Roman" w:eastAsia="宋体" w:cs="Times New Roman"/>
                <w:snapToGrid w:val="0"/>
                <w:color w:val="000000"/>
                <w:kern w:val="0"/>
                <w:sz w:val="21"/>
                <w:szCs w:val="21"/>
                <w:highlight w:val="none"/>
                <w:u w:color="000000"/>
                <w:lang w:val="en-US" w:eastAsia="zh-CN"/>
              </w:rPr>
              <w:t>1</w:t>
            </w:r>
          </w:p>
        </w:tc>
        <w:tc>
          <w:tcPr>
            <w:tcW w:w="1890" w:type="pct"/>
            <w:vAlign w:val="center"/>
          </w:tcPr>
          <w:p w14:paraId="148FC0B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default" w:ascii="宋体" w:hAnsi="宋体" w:eastAsia="宋体" w:cs="宋体"/>
                <w:color w:val="000000"/>
                <w:kern w:val="0"/>
                <w:sz w:val="21"/>
                <w:szCs w:val="21"/>
                <w:highlight w:val="none"/>
                <w:u w:color="000000"/>
                <w:lang w:val="en-US" w:eastAsia="zh-CN"/>
              </w:rPr>
            </w:pPr>
            <w:r>
              <w:rPr>
                <w:rFonts w:hint="eastAsia" w:ascii="宋体" w:hAnsi="宋体" w:eastAsia="宋体" w:cs="宋体"/>
                <w:color w:val="000000"/>
                <w:kern w:val="0"/>
                <w:sz w:val="21"/>
                <w:szCs w:val="21"/>
                <w:highlight w:val="none"/>
                <w:u w:color="000000"/>
                <w:lang w:val="en-US" w:eastAsia="zh-CN"/>
              </w:rPr>
              <w:t>成品仓库内物料未设置物料标识牌；</w:t>
            </w:r>
          </w:p>
        </w:tc>
        <w:tc>
          <w:tcPr>
            <w:tcW w:w="989" w:type="pct"/>
            <w:vAlign w:val="center"/>
          </w:tcPr>
          <w:p w14:paraId="3264BE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default" w:ascii="宋体" w:hAnsi="宋体" w:eastAsia="宋体" w:cs="宋体"/>
                <w:color w:val="000000"/>
                <w:kern w:val="0"/>
                <w:sz w:val="21"/>
                <w:szCs w:val="21"/>
                <w:highlight w:val="none"/>
                <w:u w:color="000000"/>
                <w:lang w:val="en-US" w:eastAsia="zh-CN"/>
              </w:rPr>
            </w:pPr>
            <w:r>
              <w:rPr>
                <w:rFonts w:hint="default" w:ascii="宋体" w:hAnsi="宋体" w:eastAsia="宋体" w:cs="宋体"/>
                <w:color w:val="000000"/>
                <w:kern w:val="0"/>
                <w:sz w:val="21"/>
                <w:szCs w:val="21"/>
                <w:highlight w:val="none"/>
                <w:u w:color="000000"/>
                <w:lang w:val="en-US" w:eastAsia="zh-CN"/>
              </w:rPr>
              <w:t>GB15603-2022</w:t>
            </w:r>
          </w:p>
          <w:p w14:paraId="6010A15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default" w:ascii="宋体" w:hAnsi="宋体" w:eastAsia="宋体" w:cs="宋体"/>
                <w:color w:val="000000"/>
                <w:kern w:val="0"/>
                <w:sz w:val="21"/>
                <w:szCs w:val="21"/>
                <w:highlight w:val="none"/>
                <w:u w:color="000000"/>
                <w:lang w:val="en-US" w:eastAsia="zh-CN"/>
              </w:rPr>
            </w:pPr>
            <w:r>
              <w:rPr>
                <w:rFonts w:hint="default" w:ascii="宋体" w:hAnsi="宋体" w:eastAsia="宋体" w:cs="宋体"/>
                <w:color w:val="000000"/>
                <w:kern w:val="0"/>
                <w:sz w:val="21"/>
                <w:szCs w:val="21"/>
                <w:highlight w:val="none"/>
                <w:u w:color="000000"/>
                <w:lang w:val="en-US" w:eastAsia="zh-CN"/>
              </w:rPr>
              <w:t>第</w:t>
            </w:r>
            <w:r>
              <w:rPr>
                <w:rFonts w:hint="eastAsia" w:ascii="宋体" w:hAnsi="宋体" w:eastAsia="宋体" w:cs="宋体"/>
                <w:color w:val="000000"/>
                <w:kern w:val="0"/>
                <w:sz w:val="21"/>
                <w:szCs w:val="21"/>
                <w:highlight w:val="none"/>
                <w:u w:color="000000"/>
                <w:lang w:val="en-US" w:eastAsia="zh-CN"/>
              </w:rPr>
              <w:t>11.2.1</w:t>
            </w:r>
            <w:r>
              <w:rPr>
                <w:rFonts w:hint="default" w:ascii="宋体" w:hAnsi="宋体" w:eastAsia="宋体" w:cs="宋体"/>
                <w:color w:val="000000"/>
                <w:kern w:val="0"/>
                <w:sz w:val="21"/>
                <w:szCs w:val="21"/>
                <w:highlight w:val="none"/>
                <w:u w:color="000000"/>
                <w:lang w:val="en-US" w:eastAsia="zh-CN"/>
              </w:rPr>
              <w:t>条</w:t>
            </w:r>
          </w:p>
        </w:tc>
        <w:tc>
          <w:tcPr>
            <w:tcW w:w="1864" w:type="pct"/>
            <w:vAlign w:val="center"/>
          </w:tcPr>
          <w:p w14:paraId="6AB3C1C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default" w:ascii="宋体" w:hAnsi="宋体" w:eastAsia="宋体" w:cs="宋体"/>
                <w:color w:val="000000"/>
                <w:kern w:val="0"/>
                <w:sz w:val="21"/>
                <w:szCs w:val="21"/>
                <w:highlight w:val="none"/>
                <w:u w:color="000000"/>
                <w:lang w:val="en-US" w:eastAsia="zh-CN"/>
              </w:rPr>
            </w:pPr>
            <w:r>
              <w:rPr>
                <w:rFonts w:hint="default" w:ascii="宋体" w:hAnsi="宋体" w:eastAsia="宋体" w:cs="宋体"/>
                <w:color w:val="000000"/>
                <w:kern w:val="0"/>
                <w:sz w:val="21"/>
                <w:szCs w:val="21"/>
                <w:highlight w:val="none"/>
                <w:u w:color="000000"/>
                <w:lang w:val="en-US" w:eastAsia="zh-CN"/>
              </w:rPr>
              <w:t>成品仓库内物料</w:t>
            </w:r>
            <w:r>
              <w:rPr>
                <w:rFonts w:hint="eastAsia" w:ascii="宋体" w:hAnsi="宋体" w:eastAsia="宋体" w:cs="宋体"/>
                <w:color w:val="000000"/>
                <w:kern w:val="0"/>
                <w:sz w:val="21"/>
                <w:szCs w:val="21"/>
                <w:highlight w:val="none"/>
                <w:u w:color="000000"/>
                <w:lang w:val="en-US" w:eastAsia="zh-CN"/>
              </w:rPr>
              <w:t>应</w:t>
            </w:r>
            <w:r>
              <w:rPr>
                <w:rFonts w:hint="default" w:ascii="宋体" w:hAnsi="宋体" w:eastAsia="宋体" w:cs="宋体"/>
                <w:color w:val="000000"/>
                <w:kern w:val="0"/>
                <w:sz w:val="21"/>
                <w:szCs w:val="21"/>
                <w:highlight w:val="none"/>
                <w:u w:color="000000"/>
                <w:lang w:val="en-US" w:eastAsia="zh-CN"/>
              </w:rPr>
              <w:t>设置物料标识牌；</w:t>
            </w:r>
          </w:p>
        </w:tc>
      </w:tr>
      <w:tr w14:paraId="33893BA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57" w:type="dxa"/>
            <w:bottom w:w="57" w:type="dxa"/>
            <w:right w:w="57" w:type="dxa"/>
          </w:tblCellMar>
        </w:tblPrEx>
        <w:trPr>
          <w:trHeight w:val="90" w:hRule="atLeast"/>
          <w:jc w:val="center"/>
        </w:trPr>
        <w:tc>
          <w:tcPr>
            <w:tcW w:w="255" w:type="pct"/>
            <w:vAlign w:val="center"/>
          </w:tcPr>
          <w:p w14:paraId="2BB0DF8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default" w:ascii="宋体" w:hAnsi="Times New Roman" w:eastAsia="宋体" w:cs="Times New Roman"/>
                <w:snapToGrid w:val="0"/>
                <w:color w:val="000000"/>
                <w:kern w:val="0"/>
                <w:sz w:val="21"/>
                <w:szCs w:val="21"/>
                <w:highlight w:val="none"/>
                <w:u w:color="000000"/>
                <w:lang w:val="en-US" w:eastAsia="zh-CN"/>
              </w:rPr>
            </w:pPr>
            <w:r>
              <w:rPr>
                <w:rFonts w:hint="eastAsia" w:ascii="宋体" w:hAnsi="Times New Roman" w:eastAsia="宋体" w:cs="Times New Roman"/>
                <w:snapToGrid w:val="0"/>
                <w:color w:val="000000"/>
                <w:kern w:val="0"/>
                <w:sz w:val="21"/>
                <w:szCs w:val="21"/>
                <w:highlight w:val="none"/>
                <w:u w:color="000000"/>
                <w:lang w:val="en-US" w:eastAsia="zh-CN"/>
              </w:rPr>
              <w:t>2</w:t>
            </w:r>
          </w:p>
        </w:tc>
        <w:tc>
          <w:tcPr>
            <w:tcW w:w="1890" w:type="pct"/>
            <w:vAlign w:val="center"/>
          </w:tcPr>
          <w:p w14:paraId="4DA14C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eastAsia" w:ascii="宋体" w:hAnsi="宋体" w:eastAsia="宋体" w:cs="宋体"/>
                <w:color w:val="000000"/>
                <w:kern w:val="0"/>
                <w:sz w:val="21"/>
                <w:szCs w:val="21"/>
                <w:highlight w:val="none"/>
                <w:u w:color="000000"/>
                <w:lang w:val="en-US" w:eastAsia="zh-CN"/>
              </w:rPr>
            </w:pPr>
            <w:r>
              <w:rPr>
                <w:rFonts w:hint="eastAsia" w:ascii="宋体" w:hAnsi="宋体" w:eastAsia="宋体" w:cs="Times New Roman"/>
                <w:color w:val="000000"/>
                <w:kern w:val="0"/>
                <w:szCs w:val="21"/>
                <w:highlight w:val="none"/>
                <w:u w:color="000000"/>
                <w:lang w:val="en-US" w:eastAsia="zh-CN"/>
              </w:rPr>
              <w:t>成品仓库未设置分区标识线</w:t>
            </w:r>
            <w:r>
              <w:rPr>
                <w:rFonts w:hint="eastAsia" w:ascii="宋体" w:hAnsi="宋体" w:eastAsia="宋体" w:cs="宋体"/>
                <w:color w:val="000000"/>
                <w:kern w:val="0"/>
                <w:sz w:val="21"/>
                <w:szCs w:val="21"/>
                <w:highlight w:val="none"/>
                <w:u w:color="000000"/>
                <w:lang w:val="en-US" w:eastAsia="zh-CN"/>
              </w:rPr>
              <w:t>；</w:t>
            </w:r>
          </w:p>
        </w:tc>
        <w:tc>
          <w:tcPr>
            <w:tcW w:w="989" w:type="pct"/>
            <w:vAlign w:val="center"/>
          </w:tcPr>
          <w:p w14:paraId="7052131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default" w:ascii="宋体" w:hAnsi="宋体" w:eastAsia="宋体" w:cs="宋体"/>
                <w:color w:val="000000"/>
                <w:kern w:val="0"/>
                <w:sz w:val="21"/>
                <w:szCs w:val="21"/>
                <w:highlight w:val="none"/>
                <w:u w:color="000000"/>
                <w:lang w:val="en-US" w:eastAsia="zh-CN"/>
              </w:rPr>
            </w:pPr>
            <w:r>
              <w:rPr>
                <w:rFonts w:hint="default" w:ascii="宋体" w:hAnsi="宋体" w:eastAsia="宋体" w:cs="宋体"/>
                <w:color w:val="000000"/>
                <w:kern w:val="0"/>
                <w:sz w:val="21"/>
                <w:szCs w:val="21"/>
                <w:highlight w:val="none"/>
                <w:u w:color="000000"/>
                <w:lang w:val="en-US" w:eastAsia="zh-CN"/>
              </w:rPr>
              <w:t>GB15603-2022</w:t>
            </w:r>
          </w:p>
          <w:p w14:paraId="5A872B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eastAsia" w:ascii="宋体" w:hAnsi="宋体" w:eastAsia="宋体" w:cs="宋体"/>
                <w:color w:val="000000"/>
                <w:kern w:val="0"/>
                <w:sz w:val="21"/>
                <w:szCs w:val="21"/>
                <w:highlight w:val="none"/>
                <w:u w:color="000000"/>
                <w:lang w:val="en-US" w:eastAsia="zh-CN"/>
              </w:rPr>
            </w:pPr>
            <w:r>
              <w:rPr>
                <w:rFonts w:hint="default" w:ascii="宋体" w:hAnsi="宋体" w:eastAsia="宋体" w:cs="宋体"/>
                <w:color w:val="000000"/>
                <w:kern w:val="0"/>
                <w:sz w:val="21"/>
                <w:szCs w:val="21"/>
                <w:highlight w:val="none"/>
                <w:u w:color="000000"/>
                <w:lang w:val="en-US" w:eastAsia="zh-CN"/>
              </w:rPr>
              <w:t>第</w:t>
            </w:r>
            <w:r>
              <w:rPr>
                <w:rFonts w:hint="eastAsia" w:ascii="宋体" w:hAnsi="宋体" w:eastAsia="宋体" w:cs="宋体"/>
                <w:color w:val="000000"/>
                <w:kern w:val="0"/>
                <w:sz w:val="21"/>
                <w:szCs w:val="21"/>
                <w:highlight w:val="none"/>
                <w:u w:color="000000"/>
                <w:lang w:val="en-US" w:eastAsia="zh-CN"/>
              </w:rPr>
              <w:t>5.1</w:t>
            </w:r>
            <w:r>
              <w:rPr>
                <w:rFonts w:hint="default" w:ascii="宋体" w:hAnsi="宋体" w:eastAsia="宋体" w:cs="宋体"/>
                <w:color w:val="000000"/>
                <w:kern w:val="0"/>
                <w:sz w:val="21"/>
                <w:szCs w:val="21"/>
                <w:highlight w:val="none"/>
                <w:u w:color="000000"/>
                <w:lang w:val="en-US" w:eastAsia="zh-CN"/>
              </w:rPr>
              <w:t>条</w:t>
            </w:r>
          </w:p>
        </w:tc>
        <w:tc>
          <w:tcPr>
            <w:tcW w:w="1864" w:type="pct"/>
            <w:vAlign w:val="center"/>
          </w:tcPr>
          <w:p w14:paraId="226618D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default" w:ascii="宋体" w:hAnsi="宋体" w:eastAsia="宋体" w:cs="宋体"/>
                <w:color w:val="000000"/>
                <w:kern w:val="0"/>
                <w:sz w:val="21"/>
                <w:szCs w:val="21"/>
                <w:highlight w:val="none"/>
                <w:u w:color="000000"/>
                <w:lang w:val="en-US" w:eastAsia="zh-CN"/>
              </w:rPr>
            </w:pPr>
            <w:r>
              <w:rPr>
                <w:rFonts w:hint="default" w:ascii="宋体" w:hAnsi="宋体" w:eastAsia="宋体" w:cs="宋体"/>
                <w:color w:val="000000"/>
                <w:kern w:val="0"/>
                <w:sz w:val="21"/>
                <w:szCs w:val="21"/>
                <w:highlight w:val="none"/>
                <w:u w:color="000000"/>
                <w:lang w:val="en-US" w:eastAsia="zh-CN"/>
              </w:rPr>
              <w:t>成品仓库</w:t>
            </w:r>
            <w:r>
              <w:rPr>
                <w:rFonts w:hint="eastAsia" w:ascii="宋体" w:hAnsi="宋体" w:eastAsia="宋体" w:cs="宋体"/>
                <w:color w:val="000000"/>
                <w:kern w:val="0"/>
                <w:sz w:val="21"/>
                <w:szCs w:val="21"/>
                <w:highlight w:val="none"/>
                <w:u w:color="000000"/>
                <w:lang w:val="en-US" w:eastAsia="zh-CN"/>
              </w:rPr>
              <w:t>应</w:t>
            </w:r>
            <w:r>
              <w:rPr>
                <w:rFonts w:hint="default" w:ascii="宋体" w:hAnsi="宋体" w:eastAsia="宋体" w:cs="宋体"/>
                <w:color w:val="000000"/>
                <w:kern w:val="0"/>
                <w:sz w:val="21"/>
                <w:szCs w:val="21"/>
                <w:highlight w:val="none"/>
                <w:u w:color="000000"/>
                <w:lang w:val="en-US" w:eastAsia="zh-CN"/>
              </w:rPr>
              <w:t>设置分区标识线；</w:t>
            </w:r>
          </w:p>
        </w:tc>
      </w:tr>
      <w:tr w14:paraId="7D2EA0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57" w:type="dxa"/>
            <w:bottom w:w="57" w:type="dxa"/>
            <w:right w:w="57" w:type="dxa"/>
          </w:tblCellMar>
        </w:tblPrEx>
        <w:trPr>
          <w:trHeight w:val="90" w:hRule="atLeast"/>
          <w:jc w:val="center"/>
        </w:trPr>
        <w:tc>
          <w:tcPr>
            <w:tcW w:w="255" w:type="pct"/>
            <w:vAlign w:val="center"/>
          </w:tcPr>
          <w:p w14:paraId="4BF3680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default" w:ascii="宋体" w:hAnsi="Times New Roman" w:eastAsia="宋体" w:cs="Times New Roman"/>
                <w:snapToGrid w:val="0"/>
                <w:color w:val="000000"/>
                <w:kern w:val="0"/>
                <w:sz w:val="21"/>
                <w:szCs w:val="21"/>
                <w:highlight w:val="none"/>
                <w:u w:color="000000"/>
                <w:lang w:val="en-US" w:eastAsia="zh-CN"/>
              </w:rPr>
            </w:pPr>
            <w:r>
              <w:rPr>
                <w:rFonts w:hint="eastAsia" w:ascii="宋体" w:hAnsi="Times New Roman" w:eastAsia="宋体" w:cs="Times New Roman"/>
                <w:snapToGrid w:val="0"/>
                <w:color w:val="000000"/>
                <w:kern w:val="0"/>
                <w:sz w:val="21"/>
                <w:szCs w:val="21"/>
                <w:highlight w:val="none"/>
                <w:u w:color="000000"/>
                <w:lang w:val="en-US" w:eastAsia="zh-CN"/>
              </w:rPr>
              <w:t>3</w:t>
            </w:r>
          </w:p>
        </w:tc>
        <w:tc>
          <w:tcPr>
            <w:tcW w:w="1890" w:type="pct"/>
            <w:vAlign w:val="center"/>
          </w:tcPr>
          <w:p w14:paraId="67E9D68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eastAsia" w:ascii="宋体" w:hAnsi="宋体" w:eastAsia="宋体" w:cs="宋体"/>
                <w:color w:val="000000"/>
                <w:kern w:val="0"/>
                <w:sz w:val="21"/>
                <w:szCs w:val="21"/>
                <w:highlight w:val="none"/>
                <w:u w:color="000000"/>
                <w:lang w:val="en-US" w:eastAsia="zh-CN"/>
              </w:rPr>
            </w:pPr>
            <w:r>
              <w:rPr>
                <w:rFonts w:hint="eastAsia" w:ascii="宋体" w:hAnsi="宋体" w:eastAsia="宋体" w:cs="宋体"/>
                <w:color w:val="000000"/>
                <w:kern w:val="0"/>
                <w:sz w:val="21"/>
                <w:szCs w:val="21"/>
                <w:highlight w:val="none"/>
                <w:u w:color="000000"/>
                <w:lang w:val="en-US" w:eastAsia="zh-CN"/>
              </w:rPr>
              <w:t>成品仓库货物码垛与墙体间距不足；</w:t>
            </w:r>
          </w:p>
        </w:tc>
        <w:tc>
          <w:tcPr>
            <w:tcW w:w="989" w:type="pct"/>
            <w:vAlign w:val="center"/>
          </w:tcPr>
          <w:p w14:paraId="121D390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eastAsia" w:ascii="宋体" w:hAnsi="宋体" w:eastAsia="宋体" w:cs="宋体"/>
                <w:color w:val="000000"/>
                <w:kern w:val="0"/>
                <w:sz w:val="21"/>
                <w:szCs w:val="21"/>
                <w:highlight w:val="none"/>
                <w:u w:color="000000"/>
                <w:lang w:val="en-US" w:eastAsia="zh-CN"/>
              </w:rPr>
            </w:pPr>
            <w:r>
              <w:rPr>
                <w:rFonts w:hint="eastAsia" w:ascii="宋体" w:hAnsi="宋体" w:eastAsia="宋体" w:cs="宋体"/>
                <w:color w:val="000000"/>
                <w:kern w:val="0"/>
                <w:sz w:val="21"/>
                <w:szCs w:val="21"/>
                <w:highlight w:val="none"/>
                <w:u w:color="000000"/>
                <w:lang w:val="en-US" w:eastAsia="zh-CN"/>
              </w:rPr>
              <w:t>GB15603-2022</w:t>
            </w:r>
          </w:p>
          <w:p w14:paraId="47BC69C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default" w:ascii="宋体" w:hAnsi="宋体" w:eastAsia="宋体" w:cs="宋体"/>
                <w:color w:val="000000"/>
                <w:kern w:val="0"/>
                <w:sz w:val="21"/>
                <w:szCs w:val="21"/>
                <w:highlight w:val="none"/>
                <w:u w:color="000000"/>
                <w:lang w:val="en-US" w:eastAsia="zh-CN"/>
              </w:rPr>
            </w:pPr>
            <w:r>
              <w:rPr>
                <w:rFonts w:hint="eastAsia" w:ascii="宋体" w:hAnsi="宋体" w:eastAsia="宋体" w:cs="宋体"/>
                <w:color w:val="000000"/>
                <w:kern w:val="0"/>
                <w:sz w:val="21"/>
                <w:szCs w:val="21"/>
                <w:highlight w:val="none"/>
                <w:u w:color="000000"/>
                <w:lang w:val="en-US" w:eastAsia="zh-CN"/>
              </w:rPr>
              <w:t>第6.2.5.b）条</w:t>
            </w:r>
          </w:p>
        </w:tc>
        <w:tc>
          <w:tcPr>
            <w:tcW w:w="1864" w:type="pct"/>
            <w:vAlign w:val="center"/>
          </w:tcPr>
          <w:p w14:paraId="2125C2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default" w:ascii="宋体" w:hAnsi="宋体" w:eastAsia="宋体" w:cs="宋体"/>
                <w:color w:val="000000"/>
                <w:kern w:val="0"/>
                <w:sz w:val="21"/>
                <w:szCs w:val="21"/>
                <w:highlight w:val="none"/>
                <w:u w:color="000000"/>
                <w:lang w:val="en-US" w:eastAsia="zh-CN"/>
              </w:rPr>
            </w:pPr>
            <w:r>
              <w:rPr>
                <w:rFonts w:hint="default" w:ascii="宋体" w:hAnsi="宋体" w:eastAsia="宋体" w:cs="宋体"/>
                <w:color w:val="000000"/>
                <w:kern w:val="0"/>
                <w:sz w:val="21"/>
                <w:szCs w:val="21"/>
                <w:highlight w:val="none"/>
                <w:u w:color="000000"/>
                <w:lang w:val="en-US" w:eastAsia="zh-CN"/>
              </w:rPr>
              <w:t>成品仓库货物码垛与墙体间距</w:t>
            </w:r>
            <w:r>
              <w:rPr>
                <w:rFonts w:hint="eastAsia" w:ascii="宋体" w:hAnsi="宋体" w:eastAsia="宋体" w:cs="宋体"/>
                <w:color w:val="000000"/>
                <w:kern w:val="0"/>
                <w:sz w:val="21"/>
                <w:szCs w:val="21"/>
                <w:highlight w:val="none"/>
                <w:u w:color="000000"/>
                <w:lang w:val="en-US" w:eastAsia="zh-CN"/>
              </w:rPr>
              <w:t>不应小于0.5m</w:t>
            </w:r>
            <w:r>
              <w:rPr>
                <w:rFonts w:hint="default" w:ascii="宋体" w:hAnsi="宋体" w:eastAsia="宋体" w:cs="宋体"/>
                <w:color w:val="000000"/>
                <w:kern w:val="0"/>
                <w:sz w:val="21"/>
                <w:szCs w:val="21"/>
                <w:highlight w:val="none"/>
                <w:u w:color="000000"/>
                <w:lang w:val="en-US" w:eastAsia="zh-CN"/>
              </w:rPr>
              <w:t>；</w:t>
            </w:r>
          </w:p>
        </w:tc>
      </w:tr>
      <w:tr w14:paraId="7CD88F1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57" w:type="dxa"/>
            <w:left w:w="57" w:type="dxa"/>
            <w:bottom w:w="57" w:type="dxa"/>
            <w:right w:w="57" w:type="dxa"/>
          </w:tblCellMar>
        </w:tblPrEx>
        <w:trPr>
          <w:trHeight w:val="90" w:hRule="atLeast"/>
          <w:jc w:val="center"/>
        </w:trPr>
        <w:tc>
          <w:tcPr>
            <w:tcW w:w="255" w:type="pct"/>
            <w:vAlign w:val="center"/>
          </w:tcPr>
          <w:p w14:paraId="1CA5506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default" w:ascii="宋体" w:hAnsi="Times New Roman" w:eastAsia="宋体" w:cs="Times New Roman"/>
                <w:snapToGrid w:val="0"/>
                <w:color w:val="000000"/>
                <w:kern w:val="0"/>
                <w:sz w:val="21"/>
                <w:szCs w:val="21"/>
                <w:highlight w:val="none"/>
                <w:u w:color="000000"/>
                <w:lang w:val="en-US" w:eastAsia="zh-CN"/>
              </w:rPr>
            </w:pPr>
            <w:r>
              <w:rPr>
                <w:rFonts w:hint="eastAsia" w:ascii="宋体" w:hAnsi="Times New Roman" w:eastAsia="宋体" w:cs="Times New Roman"/>
                <w:snapToGrid w:val="0"/>
                <w:color w:val="000000"/>
                <w:kern w:val="0"/>
                <w:sz w:val="21"/>
                <w:szCs w:val="21"/>
                <w:highlight w:val="none"/>
                <w:u w:color="000000"/>
                <w:lang w:val="en-US" w:eastAsia="zh-CN"/>
              </w:rPr>
              <w:t>4</w:t>
            </w:r>
          </w:p>
        </w:tc>
        <w:tc>
          <w:tcPr>
            <w:tcW w:w="1890" w:type="pct"/>
            <w:vAlign w:val="center"/>
          </w:tcPr>
          <w:p w14:paraId="76C735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eastAsia" w:ascii="宋体" w:hAnsi="宋体" w:eastAsia="宋体" w:cs="宋体"/>
                <w:color w:val="000000"/>
                <w:kern w:val="0"/>
                <w:sz w:val="21"/>
                <w:szCs w:val="21"/>
                <w:highlight w:val="none"/>
                <w:u w:color="000000"/>
                <w:lang w:val="en-US" w:eastAsia="zh-CN"/>
              </w:rPr>
            </w:pPr>
            <w:r>
              <w:rPr>
                <w:rFonts w:hint="eastAsia" w:ascii="宋体" w:hAnsi="宋体" w:eastAsia="宋体" w:cs="宋体"/>
                <w:color w:val="000000"/>
                <w:kern w:val="0"/>
                <w:sz w:val="21"/>
                <w:szCs w:val="21"/>
                <w:highlight w:val="none"/>
                <w:u w:color="000000"/>
                <w:lang w:val="en-US" w:eastAsia="zh-CN"/>
              </w:rPr>
              <w:t>成品仓库现场堆放杂物。</w:t>
            </w:r>
          </w:p>
        </w:tc>
        <w:tc>
          <w:tcPr>
            <w:tcW w:w="989" w:type="pct"/>
            <w:vAlign w:val="center"/>
          </w:tcPr>
          <w:p w14:paraId="4BE609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eastAsia" w:ascii="宋体" w:hAnsi="宋体" w:eastAsia="宋体" w:cs="宋体"/>
                <w:color w:val="000000"/>
                <w:kern w:val="0"/>
                <w:sz w:val="21"/>
                <w:szCs w:val="21"/>
                <w:highlight w:val="none"/>
                <w:u w:color="000000"/>
                <w:lang w:val="en-US" w:eastAsia="zh-CN"/>
              </w:rPr>
            </w:pPr>
            <w:r>
              <w:rPr>
                <w:rFonts w:hint="eastAsia" w:ascii="宋体" w:hAnsi="宋体" w:eastAsia="宋体" w:cs="宋体"/>
                <w:color w:val="000000"/>
                <w:kern w:val="0"/>
                <w:sz w:val="21"/>
                <w:szCs w:val="21"/>
                <w:highlight w:val="none"/>
                <w:u w:color="000000"/>
                <w:lang w:val="en-US" w:eastAsia="zh-CN"/>
              </w:rPr>
              <w:t>GB15603-2022</w:t>
            </w:r>
          </w:p>
          <w:p w14:paraId="550DDEE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eastAsia" w:ascii="宋体" w:hAnsi="宋体" w:eastAsia="宋体" w:cs="宋体"/>
                <w:color w:val="000000"/>
                <w:kern w:val="0"/>
                <w:sz w:val="21"/>
                <w:szCs w:val="21"/>
                <w:highlight w:val="none"/>
                <w:u w:color="000000"/>
                <w:lang w:val="en-US" w:eastAsia="zh-CN"/>
              </w:rPr>
            </w:pPr>
            <w:r>
              <w:rPr>
                <w:rFonts w:hint="eastAsia" w:ascii="宋体" w:hAnsi="宋体" w:eastAsia="宋体" w:cs="宋体"/>
                <w:color w:val="000000"/>
                <w:kern w:val="0"/>
                <w:sz w:val="21"/>
                <w:szCs w:val="21"/>
                <w:highlight w:val="none"/>
                <w:u w:color="000000"/>
                <w:lang w:val="en-US" w:eastAsia="zh-CN"/>
              </w:rPr>
              <w:t>第6.2.1条</w:t>
            </w:r>
          </w:p>
        </w:tc>
        <w:tc>
          <w:tcPr>
            <w:tcW w:w="1864" w:type="pct"/>
            <w:vAlign w:val="center"/>
          </w:tcPr>
          <w:p w14:paraId="643A5F0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baseline"/>
              <w:rPr>
                <w:rFonts w:hint="eastAsia" w:ascii="宋体" w:hAnsi="宋体" w:eastAsia="宋体" w:cs="宋体"/>
                <w:color w:val="000000"/>
                <w:kern w:val="0"/>
                <w:sz w:val="21"/>
                <w:szCs w:val="21"/>
                <w:highlight w:val="none"/>
                <w:u w:color="000000"/>
                <w:lang w:val="en-US" w:eastAsia="zh-CN"/>
              </w:rPr>
            </w:pPr>
            <w:r>
              <w:rPr>
                <w:rFonts w:hint="default" w:ascii="宋体" w:hAnsi="宋体" w:eastAsia="宋体" w:cs="宋体"/>
                <w:color w:val="000000"/>
                <w:kern w:val="0"/>
                <w:sz w:val="21"/>
                <w:szCs w:val="21"/>
                <w:highlight w:val="none"/>
                <w:u w:color="000000"/>
                <w:lang w:val="en-US" w:eastAsia="zh-CN"/>
              </w:rPr>
              <w:t>成品仓库现场</w:t>
            </w:r>
            <w:r>
              <w:rPr>
                <w:rFonts w:hint="eastAsia" w:ascii="宋体" w:hAnsi="宋体" w:eastAsia="宋体" w:cs="宋体"/>
                <w:color w:val="000000"/>
                <w:kern w:val="0"/>
                <w:sz w:val="21"/>
                <w:szCs w:val="21"/>
                <w:highlight w:val="none"/>
                <w:u w:color="000000"/>
                <w:lang w:val="en-US" w:eastAsia="zh-CN"/>
              </w:rPr>
              <w:t>应整洁无杂物</w:t>
            </w:r>
            <w:r>
              <w:rPr>
                <w:rFonts w:hint="default" w:ascii="宋体" w:hAnsi="宋体" w:eastAsia="宋体" w:cs="宋体"/>
                <w:color w:val="000000"/>
                <w:kern w:val="0"/>
                <w:sz w:val="21"/>
                <w:szCs w:val="21"/>
                <w:highlight w:val="none"/>
                <w:u w:color="000000"/>
                <w:lang w:val="en-US" w:eastAsia="zh-CN"/>
              </w:rPr>
              <w:t>。</w:t>
            </w:r>
          </w:p>
        </w:tc>
      </w:tr>
    </w:tbl>
    <w:p w14:paraId="6BBFF881">
      <w:pPr>
        <w:pStyle w:val="2"/>
        <w:rPr>
          <w:rFonts w:hint="default"/>
          <w:lang w:val="en-US" w:eastAsia="zh-CN"/>
        </w:rPr>
      </w:pPr>
    </w:p>
    <w:p w14:paraId="0F7F77AC">
      <w:pPr>
        <w:pStyle w:val="2"/>
        <w:rPr>
          <w:rFonts w:hint="default"/>
          <w:lang w:val="en-US" w:eastAsia="zh-CN"/>
        </w:rPr>
      </w:pPr>
    </w:p>
    <w:p w14:paraId="1B7AFBC8">
      <w:pPr>
        <w:pStyle w:val="2"/>
        <w:rPr>
          <w:rFonts w:hint="default"/>
          <w:lang w:val="en-US" w:eastAsia="zh-CN"/>
        </w:rPr>
      </w:pPr>
    </w:p>
    <w:p w14:paraId="7933A7DB">
      <w:pPr>
        <w:pStyle w:val="2"/>
        <w:rPr>
          <w:rFonts w:hint="default"/>
          <w:lang w:val="en-US" w:eastAsia="zh-CN"/>
        </w:rPr>
      </w:pPr>
    </w:p>
    <w:p w14:paraId="2764FBCB">
      <w:pPr>
        <w:pStyle w:val="2"/>
        <w:rPr>
          <w:rFonts w:hint="default"/>
          <w:lang w:val="en-US" w:eastAsia="zh-CN"/>
        </w:rPr>
      </w:pPr>
    </w:p>
    <w:p w14:paraId="5DF2C20A">
      <w:pPr>
        <w:pStyle w:val="2"/>
        <w:rPr>
          <w:rFonts w:hint="default"/>
          <w:lang w:val="en-US" w:eastAsia="zh-CN"/>
        </w:rPr>
      </w:pPr>
    </w:p>
    <w:p w14:paraId="4F7020C4">
      <w:pPr>
        <w:pStyle w:val="2"/>
        <w:rPr>
          <w:rFonts w:hint="default"/>
          <w:lang w:val="en-US" w:eastAsia="zh-CN"/>
        </w:rPr>
      </w:pPr>
    </w:p>
    <w:p w14:paraId="635C1F0C">
      <w:pPr>
        <w:pStyle w:val="2"/>
        <w:rPr>
          <w:rFonts w:hint="default"/>
          <w:lang w:val="en-US" w:eastAsia="zh-CN"/>
        </w:rPr>
      </w:pPr>
    </w:p>
    <w:p w14:paraId="15B151DE">
      <w:pPr>
        <w:pStyle w:val="2"/>
        <w:rPr>
          <w:rFonts w:hint="default"/>
          <w:lang w:val="en-US" w:eastAsia="zh-CN"/>
        </w:rPr>
      </w:pPr>
    </w:p>
    <w:p w14:paraId="2EC34C3D">
      <w:pPr>
        <w:pStyle w:val="2"/>
        <w:rPr>
          <w:rFonts w:hint="default"/>
          <w:lang w:val="en-US" w:eastAsia="zh-CN"/>
        </w:rPr>
      </w:pPr>
    </w:p>
    <w:p w14:paraId="741BA4CB">
      <w:pPr>
        <w:pStyle w:val="2"/>
        <w:rPr>
          <w:rFonts w:hint="default"/>
          <w:lang w:val="en-US" w:eastAsia="zh-CN"/>
        </w:rPr>
      </w:pPr>
    </w:p>
    <w:p w14:paraId="696B50BA">
      <w:pPr>
        <w:pStyle w:val="2"/>
        <w:rPr>
          <w:rFonts w:hint="default"/>
          <w:lang w:val="en-US" w:eastAsia="zh-CN"/>
        </w:rPr>
      </w:pPr>
      <w:bookmarkStart w:id="25" w:name="_GoBack"/>
      <w:bookmarkEnd w:id="25"/>
      <w:r>
        <w:rPr>
          <w:rFonts w:hint="default"/>
          <w:lang w:val="en-US" w:eastAsia="zh-CN"/>
        </w:rPr>
        <w:drawing>
          <wp:anchor distT="0" distB="0" distL="114300" distR="114300" simplePos="0" relativeHeight="251660288" behindDoc="0" locked="0" layoutInCell="1" allowOverlap="1">
            <wp:simplePos x="0" y="0"/>
            <wp:positionH relativeFrom="column">
              <wp:posOffset>170180</wp:posOffset>
            </wp:positionH>
            <wp:positionV relativeFrom="paragraph">
              <wp:posOffset>4463415</wp:posOffset>
            </wp:positionV>
            <wp:extent cx="5227320" cy="3620135"/>
            <wp:effectExtent l="0" t="0" r="11430" b="18415"/>
            <wp:wrapSquare wrapText="bothSides"/>
            <wp:docPr id="2" name="图片 2" descr="IMG_2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749"/>
                    <pic:cNvPicPr>
                      <a:picLocks noChangeAspect="1"/>
                    </pic:cNvPicPr>
                  </pic:nvPicPr>
                  <pic:blipFill>
                    <a:blip r:embed="rId4"/>
                    <a:stretch>
                      <a:fillRect/>
                    </a:stretch>
                  </pic:blipFill>
                  <pic:spPr>
                    <a:xfrm>
                      <a:off x="0" y="0"/>
                      <a:ext cx="5227320" cy="3620135"/>
                    </a:xfrm>
                    <a:prstGeom prst="rect">
                      <a:avLst/>
                    </a:prstGeom>
                  </pic:spPr>
                </pic:pic>
              </a:graphicData>
            </a:graphic>
          </wp:anchor>
        </w:drawing>
      </w:r>
      <w:r>
        <w:rPr>
          <w:rFonts w:hint="default"/>
          <w:lang w:val="en-US" w:eastAsia="zh-CN"/>
        </w:rPr>
        <w:drawing>
          <wp:anchor distT="0" distB="0" distL="114300" distR="114300" simplePos="0" relativeHeight="251659264" behindDoc="0" locked="0" layoutInCell="1" allowOverlap="1">
            <wp:simplePos x="0" y="0"/>
            <wp:positionH relativeFrom="column">
              <wp:posOffset>153670</wp:posOffset>
            </wp:positionH>
            <wp:positionV relativeFrom="paragraph">
              <wp:posOffset>-42545</wp:posOffset>
            </wp:positionV>
            <wp:extent cx="5370830" cy="4027805"/>
            <wp:effectExtent l="0" t="0" r="1270" b="10795"/>
            <wp:wrapSquare wrapText="bothSides"/>
            <wp:docPr id="1" name="图片 1" descr="IMG_2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751"/>
                    <pic:cNvPicPr>
                      <a:picLocks noChangeAspect="1"/>
                    </pic:cNvPicPr>
                  </pic:nvPicPr>
                  <pic:blipFill>
                    <a:blip r:embed="rId5"/>
                    <a:stretch>
                      <a:fillRect/>
                    </a:stretch>
                  </pic:blipFill>
                  <pic:spPr>
                    <a:xfrm>
                      <a:off x="0" y="0"/>
                      <a:ext cx="5370830" cy="4027805"/>
                    </a:xfrm>
                    <a:prstGeom prst="rect">
                      <a:avLst/>
                    </a:prstGeom>
                  </pic:spPr>
                </pic:pic>
              </a:graphicData>
            </a:graphic>
          </wp:anchor>
        </w:drawing>
      </w:r>
    </w:p>
    <w:p w14:paraId="09BFD239">
      <w:pPr>
        <w:pStyle w:val="2"/>
        <w:rPr>
          <w:rFonts w:hint="default"/>
          <w:lang w:val="en-US" w:eastAsia="zh-CN"/>
        </w:rPr>
      </w:pPr>
    </w:p>
    <w:p w14:paraId="5A8E37A7">
      <w:pPr>
        <w:pStyle w:val="2"/>
        <w:rPr>
          <w:rFonts w:hint="default"/>
          <w:lang w:val="en-US" w:eastAsia="zh-CN"/>
        </w:rPr>
      </w:pPr>
      <w:r>
        <w:rPr>
          <w:rFonts w:hint="default"/>
          <w:lang w:val="en-US" w:eastAsia="zh-CN"/>
        </w:rPr>
        <w:drawing>
          <wp:anchor distT="0" distB="0" distL="114300" distR="114300" simplePos="0" relativeHeight="251661312" behindDoc="0" locked="0" layoutInCell="1" allowOverlap="1">
            <wp:simplePos x="0" y="0"/>
            <wp:positionH relativeFrom="column">
              <wp:posOffset>144145</wp:posOffset>
            </wp:positionH>
            <wp:positionV relativeFrom="paragraph">
              <wp:posOffset>64135</wp:posOffset>
            </wp:positionV>
            <wp:extent cx="5754370" cy="7674610"/>
            <wp:effectExtent l="0" t="0" r="17780" b="2540"/>
            <wp:wrapSquare wrapText="bothSides"/>
            <wp:docPr id="3" name="图片 3" descr="65606305810368a05c6056920ebe0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65606305810368a05c6056920ebe0bf"/>
                    <pic:cNvPicPr>
                      <a:picLocks noChangeAspect="1"/>
                    </pic:cNvPicPr>
                  </pic:nvPicPr>
                  <pic:blipFill>
                    <a:blip r:embed="rId6"/>
                    <a:stretch>
                      <a:fillRect/>
                    </a:stretch>
                  </pic:blipFill>
                  <pic:spPr>
                    <a:xfrm>
                      <a:off x="0" y="0"/>
                      <a:ext cx="5754370" cy="7674610"/>
                    </a:xfrm>
                    <a:prstGeom prst="rect">
                      <a:avLst/>
                    </a:prstGeom>
                  </pic:spPr>
                </pic:pic>
              </a:graphicData>
            </a:graphic>
          </wp:anchor>
        </w:drawing>
      </w:r>
    </w:p>
    <w:p w14:paraId="4F2898D3">
      <w:pPr>
        <w:pStyle w:val="2"/>
        <w:rPr>
          <w:rFonts w:hint="default"/>
          <w:lang w:val="en-US" w:eastAsia="zh-CN"/>
        </w:rPr>
      </w:pPr>
    </w:p>
    <w:p w14:paraId="4D9188DE">
      <w:pPr>
        <w:pStyle w:val="2"/>
        <w:rPr>
          <w:rFonts w:hint="default"/>
          <w:lang w:val="en-US" w:eastAsia="zh-CN"/>
        </w:rPr>
      </w:pPr>
      <w:r>
        <w:rPr>
          <w:rFonts w:hint="default"/>
          <w:lang w:val="en-US" w:eastAsia="zh-CN"/>
        </w:rPr>
        <w:drawing>
          <wp:anchor distT="0" distB="0" distL="114300" distR="114300" simplePos="0" relativeHeight="251662336" behindDoc="0" locked="0" layoutInCell="1" allowOverlap="1">
            <wp:simplePos x="0" y="0"/>
            <wp:positionH relativeFrom="column">
              <wp:posOffset>53975</wp:posOffset>
            </wp:positionH>
            <wp:positionV relativeFrom="paragraph">
              <wp:posOffset>314325</wp:posOffset>
            </wp:positionV>
            <wp:extent cx="5754370" cy="7674610"/>
            <wp:effectExtent l="0" t="0" r="17780" b="2540"/>
            <wp:wrapSquare wrapText="bothSides"/>
            <wp:docPr id="4" name="图片 4" descr="1b9e58163ac3f5f3273efdd3695cd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b9e58163ac3f5f3273efdd3695cd51"/>
                    <pic:cNvPicPr>
                      <a:picLocks noChangeAspect="1"/>
                    </pic:cNvPicPr>
                  </pic:nvPicPr>
                  <pic:blipFill>
                    <a:blip r:embed="rId7"/>
                    <a:stretch>
                      <a:fillRect/>
                    </a:stretch>
                  </pic:blipFill>
                  <pic:spPr>
                    <a:xfrm>
                      <a:off x="0" y="0"/>
                      <a:ext cx="5754370" cy="7674610"/>
                    </a:xfrm>
                    <a:prstGeom prst="rect">
                      <a:avLst/>
                    </a:prstGeom>
                  </pic:spPr>
                </pic:pic>
              </a:graphicData>
            </a:graphic>
          </wp:anchor>
        </w:drawing>
      </w:r>
    </w:p>
    <w:p w14:paraId="7E16CBD3">
      <w:pPr>
        <w:pStyle w:val="2"/>
        <w:rPr>
          <w:rFonts w:hint="default"/>
          <w:lang w:val="en-US" w:eastAsia="zh-CN"/>
        </w:rPr>
      </w:pPr>
    </w:p>
    <w:p w14:paraId="255BEF7B">
      <w:pPr>
        <w:pStyle w:val="2"/>
        <w:rPr>
          <w:rFonts w:hint="default"/>
          <w:lang w:val="en-US" w:eastAsia="zh-CN"/>
        </w:rPr>
      </w:pPr>
    </w:p>
    <w:p w14:paraId="08140565">
      <w:pPr>
        <w:pStyle w:val="2"/>
        <w:rPr>
          <w:rFonts w:hint="default"/>
          <w:lang w:val="en-US" w:eastAsia="zh-CN"/>
        </w:rPr>
      </w:pPr>
      <w:r>
        <w:rPr>
          <w:rFonts w:hint="default"/>
          <w:lang w:val="en-US" w:eastAsia="zh-CN"/>
        </w:rPr>
        <w:drawing>
          <wp:anchor distT="0" distB="0" distL="114300" distR="114300" simplePos="0" relativeHeight="251663360" behindDoc="0" locked="0" layoutInCell="1" allowOverlap="1">
            <wp:simplePos x="0" y="0"/>
            <wp:positionH relativeFrom="column">
              <wp:posOffset>161925</wp:posOffset>
            </wp:positionH>
            <wp:positionV relativeFrom="paragraph">
              <wp:posOffset>87630</wp:posOffset>
            </wp:positionV>
            <wp:extent cx="5754370" cy="7674610"/>
            <wp:effectExtent l="0" t="0" r="17780" b="2540"/>
            <wp:wrapSquare wrapText="bothSides"/>
            <wp:docPr id="5" name="图片 5" descr="ff8dc44cd69aa9e71996f3dcf02ab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f8dc44cd69aa9e71996f3dcf02ab0a"/>
                    <pic:cNvPicPr>
                      <a:picLocks noChangeAspect="1"/>
                    </pic:cNvPicPr>
                  </pic:nvPicPr>
                  <pic:blipFill>
                    <a:blip r:embed="rId8"/>
                    <a:stretch>
                      <a:fillRect/>
                    </a:stretch>
                  </pic:blipFill>
                  <pic:spPr>
                    <a:xfrm>
                      <a:off x="0" y="0"/>
                      <a:ext cx="5754370" cy="7674610"/>
                    </a:xfrm>
                    <a:prstGeom prst="rect">
                      <a:avLst/>
                    </a:prstGeom>
                  </pic:spPr>
                </pic:pic>
              </a:graphicData>
            </a:graphic>
          </wp:anchor>
        </w:drawing>
      </w:r>
    </w:p>
    <w:p w14:paraId="34068B44">
      <w:pPr>
        <w:pStyle w:val="2"/>
        <w:rPr>
          <w:rFonts w:hint="default"/>
          <w:lang w:val="en-US" w:eastAsia="zh-CN"/>
        </w:rPr>
      </w:pPr>
    </w:p>
    <w:p w14:paraId="2049789C">
      <w:pPr>
        <w:pStyle w:val="2"/>
        <w:rPr>
          <w:rFonts w:hint="default"/>
          <w:lang w:val="en-US" w:eastAsia="zh-CN"/>
        </w:rPr>
      </w:pPr>
      <w:r>
        <w:rPr>
          <w:rFonts w:hint="default"/>
          <w:lang w:val="en-US" w:eastAsia="zh-CN"/>
        </w:rPr>
        <w:drawing>
          <wp:anchor distT="0" distB="0" distL="114300" distR="114300" simplePos="0" relativeHeight="251664384" behindDoc="1" locked="0" layoutInCell="1" allowOverlap="1">
            <wp:simplePos x="0" y="0"/>
            <wp:positionH relativeFrom="column">
              <wp:posOffset>372745</wp:posOffset>
            </wp:positionH>
            <wp:positionV relativeFrom="paragraph">
              <wp:posOffset>-300990</wp:posOffset>
            </wp:positionV>
            <wp:extent cx="3876675" cy="4107815"/>
            <wp:effectExtent l="0" t="0" r="47625" b="45085"/>
            <wp:wrapTight wrapText="bothSides">
              <wp:wrapPolygon>
                <wp:start x="0" y="0"/>
                <wp:lineTo x="0" y="21537"/>
                <wp:lineTo x="21547" y="21537"/>
                <wp:lineTo x="21547" y="0"/>
                <wp:lineTo x="0" y="0"/>
              </wp:wrapPolygon>
            </wp:wrapTight>
            <wp:docPr id="6" name="图片 6" descr="dd15808681914cc4b55375627dc41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d15808681914cc4b55375627dc410f"/>
                    <pic:cNvPicPr>
                      <a:picLocks noChangeAspect="1"/>
                    </pic:cNvPicPr>
                  </pic:nvPicPr>
                  <pic:blipFill>
                    <a:blip r:embed="rId9"/>
                    <a:stretch>
                      <a:fillRect/>
                    </a:stretch>
                  </pic:blipFill>
                  <pic:spPr>
                    <a:xfrm>
                      <a:off x="0" y="0"/>
                      <a:ext cx="3876675" cy="4107815"/>
                    </a:xfrm>
                    <a:prstGeom prst="rect">
                      <a:avLst/>
                    </a:prstGeom>
                  </pic:spPr>
                </pic:pic>
              </a:graphicData>
            </a:graphic>
          </wp:anchor>
        </w:drawing>
      </w:r>
    </w:p>
    <w:p w14:paraId="6B52D684">
      <w:pPr>
        <w:pStyle w:val="2"/>
        <w:rPr>
          <w:rFonts w:hint="default"/>
          <w:lang w:val="en-US" w:eastAsia="zh-CN"/>
        </w:rPr>
      </w:pPr>
    </w:p>
    <w:p w14:paraId="041905EC">
      <w:pPr>
        <w:pStyle w:val="2"/>
        <w:rPr>
          <w:rFonts w:hint="default"/>
          <w:lang w:val="en-US" w:eastAsia="zh-CN"/>
        </w:rPr>
      </w:pPr>
    </w:p>
    <w:p w14:paraId="46E949EB">
      <w:pPr>
        <w:pStyle w:val="2"/>
        <w:rPr>
          <w:rFonts w:hint="default"/>
          <w:lang w:val="en-US" w:eastAsia="zh-CN"/>
        </w:rPr>
      </w:pPr>
    </w:p>
    <w:p w14:paraId="19D5F74E">
      <w:pPr>
        <w:pStyle w:val="2"/>
        <w:rPr>
          <w:rFonts w:hint="default"/>
          <w:lang w:val="en-US" w:eastAsia="zh-CN"/>
        </w:rPr>
      </w:pPr>
    </w:p>
    <w:p w14:paraId="6FF68429">
      <w:pPr>
        <w:pStyle w:val="2"/>
        <w:rPr>
          <w:rFonts w:hint="default"/>
          <w:lang w:val="en-US" w:eastAsia="zh-CN"/>
        </w:rPr>
      </w:pPr>
    </w:p>
    <w:p w14:paraId="155865BD">
      <w:pPr>
        <w:pStyle w:val="2"/>
        <w:rPr>
          <w:rFonts w:hint="default"/>
          <w:lang w:val="en-US" w:eastAsia="zh-CN"/>
        </w:rPr>
      </w:pPr>
    </w:p>
    <w:p w14:paraId="649B3168">
      <w:pPr>
        <w:pStyle w:val="2"/>
        <w:rPr>
          <w:rFonts w:hint="default"/>
          <w:lang w:val="en-US" w:eastAsia="zh-CN"/>
        </w:rPr>
      </w:pPr>
    </w:p>
    <w:p w14:paraId="180C7DE3">
      <w:pPr>
        <w:pStyle w:val="2"/>
        <w:rPr>
          <w:rFonts w:hint="default"/>
          <w:lang w:val="en-US" w:eastAsia="zh-CN"/>
        </w:rPr>
      </w:pPr>
    </w:p>
    <w:p w14:paraId="59BF7D64">
      <w:pPr>
        <w:pStyle w:val="2"/>
        <w:rPr>
          <w:rFonts w:hint="default"/>
          <w:lang w:val="en-US" w:eastAsia="zh-CN"/>
        </w:rPr>
      </w:pPr>
    </w:p>
    <w:p w14:paraId="4E1E304C">
      <w:pPr>
        <w:pStyle w:val="2"/>
        <w:rPr>
          <w:rFonts w:hint="default"/>
          <w:lang w:val="en-US" w:eastAsia="zh-CN"/>
        </w:rPr>
      </w:pPr>
    </w:p>
    <w:p w14:paraId="5683CFA3">
      <w:pPr>
        <w:pStyle w:val="2"/>
        <w:rPr>
          <w:rFonts w:hint="default"/>
          <w:lang w:val="en-US" w:eastAsia="zh-CN"/>
        </w:rPr>
      </w:pPr>
    </w:p>
    <w:p w14:paraId="4AF084A3">
      <w:pPr>
        <w:pStyle w:val="2"/>
        <w:rPr>
          <w:rFonts w:hint="default"/>
          <w:lang w:val="en-US" w:eastAsia="zh-CN"/>
        </w:rPr>
      </w:pPr>
    </w:p>
    <w:p w14:paraId="4AF31AE1">
      <w:pPr>
        <w:pStyle w:val="2"/>
        <w:rPr>
          <w:rFonts w:hint="default"/>
          <w:lang w:val="en-US" w:eastAsia="zh-CN"/>
        </w:rPr>
      </w:pPr>
      <w:r>
        <w:rPr>
          <w:rFonts w:hint="default"/>
          <w:lang w:val="en-US" w:eastAsia="zh-CN"/>
        </w:rPr>
        <w:drawing>
          <wp:anchor distT="0" distB="0" distL="114300" distR="114300" simplePos="0" relativeHeight="251665408" behindDoc="0" locked="0" layoutInCell="1" allowOverlap="1">
            <wp:simplePos x="0" y="0"/>
            <wp:positionH relativeFrom="column">
              <wp:posOffset>242570</wp:posOffset>
            </wp:positionH>
            <wp:positionV relativeFrom="paragraph">
              <wp:posOffset>426085</wp:posOffset>
            </wp:positionV>
            <wp:extent cx="4380865" cy="4102100"/>
            <wp:effectExtent l="0" t="0" r="12700" b="635"/>
            <wp:wrapSquare wrapText="bothSides"/>
            <wp:docPr id="7" name="图片 7" descr="c6a3c5c66fcade91366f3c84e3a97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6a3c5c66fcade91366f3c84e3a979e"/>
                    <pic:cNvPicPr>
                      <a:picLocks noChangeAspect="1"/>
                    </pic:cNvPicPr>
                  </pic:nvPicPr>
                  <pic:blipFill>
                    <a:blip r:embed="rId10"/>
                    <a:stretch>
                      <a:fillRect/>
                    </a:stretch>
                  </pic:blipFill>
                  <pic:spPr>
                    <a:xfrm rot="5400000">
                      <a:off x="0" y="0"/>
                      <a:ext cx="4380865" cy="4102100"/>
                    </a:xfrm>
                    <a:prstGeom prst="rect">
                      <a:avLst/>
                    </a:prstGeom>
                  </pic:spPr>
                </pic:pic>
              </a:graphicData>
            </a:graphic>
          </wp:anchor>
        </w:drawing>
      </w:r>
    </w:p>
    <w:p w14:paraId="41C48DE0">
      <w:pPr>
        <w:pStyle w:val="2"/>
        <w:rPr>
          <w:rFonts w:hint="default"/>
          <w:lang w:val="en-US" w:eastAsia="zh-CN"/>
        </w:rPr>
      </w:pPr>
    </w:p>
    <w:p w14:paraId="22AAA459">
      <w:pPr>
        <w:pStyle w:val="2"/>
        <w:rPr>
          <w:rFonts w:hint="default"/>
          <w:lang w:val="en-US" w:eastAsia="zh-CN"/>
        </w:rPr>
      </w:pPr>
    </w:p>
    <w:p w14:paraId="6C03F781">
      <w:pPr>
        <w:pStyle w:val="2"/>
        <w:rPr>
          <w:rFonts w:hint="default"/>
          <w:lang w:val="en-US" w:eastAsia="zh-CN"/>
        </w:rPr>
      </w:pPr>
    </w:p>
    <w:p w14:paraId="2EFBC186">
      <w:pPr>
        <w:pStyle w:val="2"/>
        <w:rPr>
          <w:rFonts w:hint="default"/>
          <w:lang w:val="en-US" w:eastAsia="zh-CN"/>
        </w:rPr>
      </w:pPr>
    </w:p>
    <w:p w14:paraId="166DCA4C">
      <w:pPr>
        <w:pStyle w:val="2"/>
        <w:rPr>
          <w:rFonts w:hint="default"/>
          <w:lang w:val="en-US" w:eastAsia="zh-CN"/>
        </w:rPr>
      </w:pPr>
    </w:p>
    <w:p w14:paraId="6DACA825">
      <w:pPr>
        <w:pStyle w:val="2"/>
        <w:rPr>
          <w:rFonts w:hint="default"/>
          <w:lang w:val="en-US" w:eastAsia="zh-CN"/>
        </w:rPr>
      </w:pPr>
    </w:p>
    <w:p w14:paraId="55DB1D11">
      <w:pPr>
        <w:pStyle w:val="2"/>
        <w:rPr>
          <w:rFonts w:hint="default"/>
          <w:lang w:val="en-US" w:eastAsia="zh-CN"/>
        </w:rPr>
      </w:pPr>
    </w:p>
    <w:p w14:paraId="4C4BDC46">
      <w:pPr>
        <w:pStyle w:val="2"/>
        <w:rPr>
          <w:rFonts w:hint="default"/>
          <w:lang w:val="en-US" w:eastAsia="zh-CN"/>
        </w:rPr>
      </w:pPr>
    </w:p>
    <w:p w14:paraId="1BE5AE82">
      <w:pPr>
        <w:pStyle w:val="2"/>
        <w:rPr>
          <w:rFonts w:hint="default"/>
          <w:lang w:val="en-US" w:eastAsia="zh-CN"/>
        </w:rPr>
      </w:pPr>
    </w:p>
    <w:p w14:paraId="265CA096">
      <w:pPr>
        <w:pStyle w:val="2"/>
        <w:rPr>
          <w:rFonts w:hint="default"/>
          <w:lang w:val="en-US" w:eastAsia="zh-CN"/>
        </w:rPr>
      </w:pPr>
    </w:p>
    <w:p w14:paraId="0AFE0DD8">
      <w:pPr>
        <w:pStyle w:val="2"/>
        <w:rPr>
          <w:rFonts w:hint="default"/>
          <w:lang w:val="en-US" w:eastAsia="zh-CN"/>
        </w:rPr>
      </w:pPr>
    </w:p>
    <w:p w14:paraId="349BE9E1">
      <w:pPr>
        <w:pStyle w:val="2"/>
        <w:rPr>
          <w:rFonts w:hint="default"/>
          <w:lang w:val="en-US" w:eastAsia="zh-CN"/>
        </w:rPr>
      </w:pPr>
    </w:p>
    <w:p w14:paraId="2B70298C">
      <w:pPr>
        <w:pStyle w:val="2"/>
        <w:rPr>
          <w:rFonts w:hint="default"/>
          <w:lang w:val="en-US" w:eastAsia="zh-CN"/>
        </w:rPr>
      </w:pPr>
      <w:r>
        <w:rPr>
          <w:rFonts w:hint="default"/>
          <w:lang w:val="en-US" w:eastAsia="zh-CN"/>
        </w:rPr>
        <w:drawing>
          <wp:anchor distT="0" distB="0" distL="114300" distR="114300" simplePos="0" relativeHeight="251667456" behindDoc="1" locked="0" layoutInCell="1" allowOverlap="1">
            <wp:simplePos x="0" y="0"/>
            <wp:positionH relativeFrom="column">
              <wp:posOffset>-763905</wp:posOffset>
            </wp:positionH>
            <wp:positionV relativeFrom="paragraph">
              <wp:posOffset>565150</wp:posOffset>
            </wp:positionV>
            <wp:extent cx="3701415" cy="2776220"/>
            <wp:effectExtent l="0" t="0" r="5080" b="13335"/>
            <wp:wrapTight wrapText="bothSides">
              <wp:wrapPolygon>
                <wp:start x="21600" y="5"/>
                <wp:lineTo x="145" y="5"/>
                <wp:lineTo x="145" y="21496"/>
                <wp:lineTo x="21600" y="21496"/>
                <wp:lineTo x="21600" y="5"/>
              </wp:wrapPolygon>
            </wp:wrapTight>
            <wp:docPr id="8" name="图片 8" descr="2a4e7c91e069a7f7d2e816aef827c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a4e7c91e069a7f7d2e816aef827caf"/>
                    <pic:cNvPicPr>
                      <a:picLocks noChangeAspect="1"/>
                    </pic:cNvPicPr>
                  </pic:nvPicPr>
                  <pic:blipFill>
                    <a:blip r:embed="rId11"/>
                    <a:stretch>
                      <a:fillRect/>
                    </a:stretch>
                  </pic:blipFill>
                  <pic:spPr>
                    <a:xfrm rot="16200000">
                      <a:off x="0" y="0"/>
                      <a:ext cx="3701415" cy="2776220"/>
                    </a:xfrm>
                    <a:prstGeom prst="rect">
                      <a:avLst/>
                    </a:prstGeom>
                  </pic:spPr>
                </pic:pic>
              </a:graphicData>
            </a:graphic>
          </wp:anchor>
        </w:drawing>
      </w:r>
      <w:r>
        <w:rPr>
          <w:rFonts w:hint="default"/>
          <w:lang w:val="en-US" w:eastAsia="zh-CN"/>
        </w:rPr>
        <w:drawing>
          <wp:anchor distT="0" distB="0" distL="114300" distR="114300" simplePos="0" relativeHeight="251666432" behindDoc="1" locked="0" layoutInCell="1" allowOverlap="1">
            <wp:simplePos x="0" y="0"/>
            <wp:positionH relativeFrom="column">
              <wp:posOffset>2312035</wp:posOffset>
            </wp:positionH>
            <wp:positionV relativeFrom="paragraph">
              <wp:posOffset>649605</wp:posOffset>
            </wp:positionV>
            <wp:extent cx="3723005" cy="2792095"/>
            <wp:effectExtent l="0" t="0" r="8255" b="10795"/>
            <wp:wrapTight wrapText="bothSides">
              <wp:wrapPolygon>
                <wp:start x="21600" y="0"/>
                <wp:lineTo x="158" y="0"/>
                <wp:lineTo x="158" y="21516"/>
                <wp:lineTo x="21600" y="21516"/>
                <wp:lineTo x="21600" y="0"/>
              </wp:wrapPolygon>
            </wp:wrapTight>
            <wp:docPr id="9" name="图片 9" descr="c86894313e493d3a0603d6ecd932e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86894313e493d3a0603d6ecd932ec4"/>
                    <pic:cNvPicPr>
                      <a:picLocks noChangeAspect="1"/>
                    </pic:cNvPicPr>
                  </pic:nvPicPr>
                  <pic:blipFill>
                    <a:blip r:embed="rId12"/>
                    <a:stretch>
                      <a:fillRect/>
                    </a:stretch>
                  </pic:blipFill>
                  <pic:spPr>
                    <a:xfrm rot="16200000">
                      <a:off x="0" y="0"/>
                      <a:ext cx="3723005" cy="2792095"/>
                    </a:xfrm>
                    <a:prstGeom prst="rect">
                      <a:avLst/>
                    </a:prstGeom>
                  </pic:spPr>
                </pic:pic>
              </a:graphicData>
            </a:graphic>
          </wp:anchor>
        </w:drawing>
      </w:r>
    </w:p>
    <w:p w14:paraId="558A7CD1">
      <w:pPr>
        <w:pStyle w:val="2"/>
        <w:rPr>
          <w:rFonts w:hint="default"/>
          <w:lang w:val="en-US" w:eastAsia="zh-CN"/>
        </w:rPr>
      </w:pPr>
    </w:p>
    <w:p w14:paraId="693896EC">
      <w:pPr>
        <w:pStyle w:val="2"/>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367030</wp:posOffset>
            </wp:positionH>
            <wp:positionV relativeFrom="page">
              <wp:posOffset>5916295</wp:posOffset>
            </wp:positionV>
            <wp:extent cx="4595495" cy="3446145"/>
            <wp:effectExtent l="0" t="0" r="1905" b="14605"/>
            <wp:wrapSquare wrapText="bothSides"/>
            <wp:docPr id="10" name="图片 10" descr="021b79acbaf92bd75d195fca867e7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021b79acbaf92bd75d195fca867e70a"/>
                    <pic:cNvPicPr>
                      <a:picLocks noChangeAspect="1"/>
                    </pic:cNvPicPr>
                  </pic:nvPicPr>
                  <pic:blipFill>
                    <a:blip r:embed="rId13"/>
                    <a:stretch>
                      <a:fillRect/>
                    </a:stretch>
                  </pic:blipFill>
                  <pic:spPr>
                    <a:xfrm rot="16200000">
                      <a:off x="0" y="0"/>
                      <a:ext cx="4595495" cy="3446145"/>
                    </a:xfrm>
                    <a:prstGeom prst="rect">
                      <a:avLst/>
                    </a:prstGeom>
                  </pic:spPr>
                </pic:pic>
              </a:graphicData>
            </a:graphic>
          </wp:anchor>
        </w:drawing>
      </w:r>
    </w:p>
    <w:p w14:paraId="1718C05A">
      <w:pPr>
        <w:pStyle w:val="2"/>
        <w:rPr>
          <w:rFonts w:hint="default"/>
          <w:lang w:val="en-US" w:eastAsia="zh-CN"/>
        </w:rPr>
      </w:pPr>
    </w:p>
    <w:p w14:paraId="62A32C0B">
      <w:pPr>
        <w:pStyle w:val="2"/>
        <w:rPr>
          <w:rFonts w:hint="default"/>
          <w:lang w:val="en-US" w:eastAsia="zh-CN"/>
        </w:rPr>
      </w:pPr>
    </w:p>
    <w:p w14:paraId="5D818CC5">
      <w:pPr>
        <w:pStyle w:val="2"/>
        <w:rPr>
          <w:rFonts w:hint="default"/>
          <w:lang w:val="en-US" w:eastAsia="zh-CN"/>
        </w:rPr>
      </w:pPr>
    </w:p>
    <w:p w14:paraId="02BF2D07">
      <w:pPr>
        <w:pStyle w:val="2"/>
        <w:rPr>
          <w:rFonts w:hint="default"/>
          <w:lang w:val="en-US" w:eastAsia="zh-CN"/>
        </w:rPr>
      </w:pPr>
    </w:p>
    <w:p w14:paraId="4E441073">
      <w:pPr>
        <w:pStyle w:val="2"/>
        <w:rPr>
          <w:rFonts w:hint="default"/>
          <w:lang w:val="en-US" w:eastAsia="zh-CN"/>
        </w:rPr>
      </w:pPr>
    </w:p>
    <w:p w14:paraId="1E4EB517">
      <w:pPr>
        <w:pStyle w:val="2"/>
        <w:rPr>
          <w:rFonts w:hint="default"/>
          <w:lang w:val="en-US" w:eastAsia="zh-CN"/>
        </w:rPr>
      </w:pPr>
    </w:p>
    <w:p w14:paraId="3D061559">
      <w:pPr>
        <w:pStyle w:val="2"/>
        <w:rPr>
          <w:rFonts w:hint="default"/>
          <w:lang w:val="en-US" w:eastAsia="zh-CN"/>
        </w:rPr>
      </w:pPr>
    </w:p>
    <w:p w14:paraId="5B6233CA">
      <w:pPr>
        <w:pStyle w:val="2"/>
        <w:rPr>
          <w:rFonts w:hint="default"/>
          <w:lang w:val="en-US" w:eastAsia="zh-CN"/>
        </w:rPr>
      </w:pPr>
    </w:p>
    <w:p w14:paraId="59B0221F">
      <w:pPr>
        <w:pStyle w:val="2"/>
        <w:rPr>
          <w:rFonts w:hint="default"/>
          <w:lang w:val="en-US" w:eastAsia="zh-CN"/>
        </w:rPr>
      </w:pPr>
    </w:p>
    <w:p w14:paraId="00EB895F">
      <w:pPr>
        <w:pStyle w:val="2"/>
        <w:rPr>
          <w:rFonts w:hint="default"/>
          <w:lang w:val="en-US" w:eastAsia="zh-CN"/>
        </w:rPr>
      </w:pPr>
    </w:p>
    <w:p w14:paraId="12AF579E">
      <w:pPr>
        <w:pStyle w:val="2"/>
        <w:rPr>
          <w:rFonts w:hint="default"/>
          <w:lang w:val="en-US" w:eastAsia="zh-CN"/>
        </w:rPr>
      </w:pPr>
    </w:p>
    <w:p w14:paraId="7600F68C">
      <w:pPr>
        <w:pStyle w:val="2"/>
        <w:rPr>
          <w:rFonts w:hint="default"/>
          <w:lang w:val="en-US" w:eastAsia="zh-CN"/>
        </w:rPr>
      </w:pPr>
    </w:p>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hMTU5MjYzZjVmNGM5NzEyODNmNDZmYjBlYjY4YWIifQ=="/>
  </w:docVars>
  <w:rsids>
    <w:rsidRoot w:val="35CC29B8"/>
    <w:rsid w:val="039504BE"/>
    <w:rsid w:val="03CC63D7"/>
    <w:rsid w:val="09D5345C"/>
    <w:rsid w:val="0A27015B"/>
    <w:rsid w:val="0BD51C61"/>
    <w:rsid w:val="0EDC1223"/>
    <w:rsid w:val="13D12EE6"/>
    <w:rsid w:val="153C4810"/>
    <w:rsid w:val="16BC1C2B"/>
    <w:rsid w:val="18895139"/>
    <w:rsid w:val="19E82D37"/>
    <w:rsid w:val="1B766F52"/>
    <w:rsid w:val="1D772B32"/>
    <w:rsid w:val="1E1E483E"/>
    <w:rsid w:val="1ECE699F"/>
    <w:rsid w:val="22CB7136"/>
    <w:rsid w:val="25C46CDA"/>
    <w:rsid w:val="284F788D"/>
    <w:rsid w:val="2A9D36CA"/>
    <w:rsid w:val="2BA016C4"/>
    <w:rsid w:val="2EC41433"/>
    <w:rsid w:val="31B33160"/>
    <w:rsid w:val="34897199"/>
    <w:rsid w:val="355F439E"/>
    <w:rsid w:val="35CC29B8"/>
    <w:rsid w:val="38F15A12"/>
    <w:rsid w:val="39D72754"/>
    <w:rsid w:val="3AD24FC7"/>
    <w:rsid w:val="3BB85D78"/>
    <w:rsid w:val="3E6B7FCA"/>
    <w:rsid w:val="3F9E4EE5"/>
    <w:rsid w:val="3FEA0D08"/>
    <w:rsid w:val="420A5691"/>
    <w:rsid w:val="420C1409"/>
    <w:rsid w:val="42B4482C"/>
    <w:rsid w:val="45956F09"/>
    <w:rsid w:val="4706325F"/>
    <w:rsid w:val="472B77CA"/>
    <w:rsid w:val="47600692"/>
    <w:rsid w:val="47AC16A2"/>
    <w:rsid w:val="48FE4AE5"/>
    <w:rsid w:val="495431DD"/>
    <w:rsid w:val="4D232668"/>
    <w:rsid w:val="4FD01CC8"/>
    <w:rsid w:val="501F4C50"/>
    <w:rsid w:val="537F016A"/>
    <w:rsid w:val="546155E5"/>
    <w:rsid w:val="563D798B"/>
    <w:rsid w:val="567C6788"/>
    <w:rsid w:val="579A241E"/>
    <w:rsid w:val="624F1172"/>
    <w:rsid w:val="634C3B4B"/>
    <w:rsid w:val="64FC15ED"/>
    <w:rsid w:val="67220075"/>
    <w:rsid w:val="6AD40467"/>
    <w:rsid w:val="6B1E5B86"/>
    <w:rsid w:val="6BF95CAB"/>
    <w:rsid w:val="6D0669CA"/>
    <w:rsid w:val="70871AD7"/>
    <w:rsid w:val="70A72179"/>
    <w:rsid w:val="717A11AE"/>
    <w:rsid w:val="72FD2CFB"/>
    <w:rsid w:val="7772596D"/>
    <w:rsid w:val="77750C99"/>
    <w:rsid w:val="7AB02F22"/>
    <w:rsid w:val="7C3F3B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widowControl/>
      <w:spacing w:line="520" w:lineRule="exact"/>
      <w:ind w:firstLine="200" w:firstLineChars="200"/>
      <w:textAlignment w:val="baseline"/>
    </w:pPr>
    <w:rPr>
      <w:rFonts w:ascii="宋体" w:hAnsi="宋体"/>
      <w:color w:val="000000"/>
      <w:spacing w:val="10"/>
      <w:kern w:val="0"/>
      <w:sz w:val="24"/>
      <w:szCs w:val="24"/>
      <w:u w:color="000000"/>
    </w:rPr>
  </w:style>
  <w:style w:type="paragraph" w:styleId="3">
    <w:name w:val="Normal Indent"/>
    <w:basedOn w:val="1"/>
    <w:qFormat/>
    <w:uiPriority w:val="99"/>
    <w:pPr>
      <w:ind w:firstLine="420"/>
    </w:pPr>
  </w:style>
  <w:style w:type="paragraph" w:styleId="4">
    <w:name w:val="Plain Text"/>
    <w:basedOn w:val="1"/>
    <w:unhideWhenUsed/>
    <w:qFormat/>
    <w:uiPriority w:val="99"/>
    <w:rPr>
      <w:rFonts w:ascii="宋体" w:hAnsi="Courier New"/>
      <w:kern w:val="0"/>
      <w:sz w:val="20"/>
      <w:szCs w:val="20"/>
    </w:rPr>
  </w:style>
  <w:style w:type="character" w:styleId="7">
    <w:name w:val="annotation reference"/>
    <w:qFormat/>
    <w:uiPriority w:val="99"/>
    <w:rPr>
      <w:sz w:val="21"/>
      <w:szCs w:val="21"/>
    </w:rPr>
  </w:style>
  <w:style w:type="paragraph" w:customStyle="1" w:styleId="8">
    <w:name w:val="111"/>
    <w:basedOn w:val="9"/>
    <w:qFormat/>
    <w:uiPriority w:val="0"/>
    <w:pPr>
      <w:widowControl/>
      <w:spacing w:beforeAutospacing="0" w:afterAutospacing="0"/>
      <w:jc w:val="left"/>
    </w:pPr>
    <w:rPr>
      <w:rFonts w:ascii="宋体" w:hAnsi="宋体" w:eastAsia="宋体" w:cs="宋体"/>
      <w:kern w:val="0"/>
      <w:sz w:val="24"/>
      <w:szCs w:val="24"/>
    </w:rPr>
  </w:style>
  <w:style w:type="paragraph" w:customStyle="1" w:styleId="9">
    <w:name w:val="题目"/>
    <w:basedOn w:val="1"/>
    <w:qFormat/>
    <w:uiPriority w:val="0"/>
    <w:pPr>
      <w:jc w:val="center"/>
      <w:outlineLvl w:val="0"/>
    </w:pPr>
    <w:rPr>
      <w:rFonts w:ascii="黑体" w:hAnsi="黑体" w:eastAsia="黑体"/>
      <w:sz w:val="32"/>
      <w:szCs w:val="32"/>
    </w:rPr>
  </w:style>
  <w:style w:type="paragraph" w:customStyle="1" w:styleId="10">
    <w:name w:val="Table Text"/>
    <w:basedOn w:val="1"/>
    <w:semiHidden/>
    <w:qFormat/>
    <w:uiPriority w:val="0"/>
    <w:rPr>
      <w:rFonts w:ascii="宋体" w:hAnsi="宋体" w:eastAsia="宋体" w:cs="宋体"/>
      <w:sz w:val="20"/>
      <w:szCs w:val="20"/>
      <w:lang w:val="en-US" w:eastAsia="en-US" w:bidi="ar-SA"/>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6评价正文"/>
    <w:qFormat/>
    <w:uiPriority w:val="0"/>
    <w:pPr>
      <w:spacing w:line="520" w:lineRule="exact"/>
      <w:ind w:firstLine="200" w:firstLineChars="200"/>
      <w:jc w:val="both"/>
    </w:pPr>
    <w:rPr>
      <w:rFonts w:ascii="Times New Roman" w:hAnsi="Times New Roman" w:eastAsia="宋体" w:cs="Times New Roman"/>
      <w:sz w:val="28"/>
      <w:lang w:val="en-US" w:eastAsia="zh-CN" w:bidi="ar-SA"/>
    </w:rPr>
  </w:style>
  <w:style w:type="paragraph" w:customStyle="1" w:styleId="13">
    <w:name w:val="1评价标题"/>
    <w:qFormat/>
    <w:uiPriority w:val="0"/>
    <w:pPr>
      <w:pageBreakBefore/>
      <w:spacing w:before="100" w:beforeLines="100" w:after="100" w:afterLines="100" w:line="520" w:lineRule="exact"/>
      <w:jc w:val="center"/>
      <w:outlineLvl w:val="0"/>
    </w:pPr>
    <w:rPr>
      <w:rFonts w:ascii="Times New Roman" w:hAnsi="Times New Roman" w:eastAsia="黑体" w:cs="Times New Roman"/>
      <w:kern w:val="2"/>
      <w:sz w:val="32"/>
      <w:szCs w:val="21"/>
      <w:lang w:val="en-US" w:eastAsia="zh-CN" w:bidi="ar-SA"/>
    </w:rPr>
  </w:style>
  <w:style w:type="paragraph" w:customStyle="1" w:styleId="14">
    <w:name w:val="5标题评价表格"/>
    <w:qFormat/>
    <w:uiPriority w:val="0"/>
    <w:pPr>
      <w:spacing w:line="520" w:lineRule="exact"/>
      <w:jc w:val="center"/>
      <w:outlineLvl w:val="4"/>
    </w:pPr>
    <w:rPr>
      <w:rFonts w:ascii="Times New Roman" w:hAnsi="Times New Roman" w:eastAsia="黑体" w:cs="Times New Roman"/>
      <w:kern w:val="2"/>
      <w:sz w:val="24"/>
      <w:szCs w:val="28"/>
      <w:u w:color="000000"/>
      <w:lang w:val="en-US" w:eastAsia="zh-CN" w:bidi="ar-SA"/>
    </w:rPr>
  </w:style>
  <w:style w:type="paragraph" w:customStyle="1" w:styleId="15">
    <w:name w:val="5内容评价表格"/>
    <w:qFormat/>
    <w:uiPriority w:val="0"/>
    <w:pPr>
      <w:spacing w:line="300" w:lineRule="exact"/>
      <w:jc w:val="center"/>
    </w:pPr>
    <w:rPr>
      <w:rFonts w:ascii="Times New Roman" w:hAnsi="Times New Roman" w:eastAsia="宋体" w:cs="Times New Roman"/>
      <w:kern w:val="2"/>
      <w:sz w:val="21"/>
      <w:szCs w:val="21"/>
      <w:u w:color="000000"/>
      <w:lang w:val="en-US" w:eastAsia="zh-CN" w:bidi="ar-SA"/>
    </w:rPr>
  </w:style>
  <w:style w:type="paragraph" w:customStyle="1" w:styleId="16">
    <w:name w:val="7评价备注"/>
    <w:qFormat/>
    <w:uiPriority w:val="0"/>
    <w:pPr>
      <w:spacing w:line="400" w:lineRule="exact"/>
      <w:ind w:firstLine="200" w:firstLineChars="200"/>
    </w:pPr>
    <w:rPr>
      <w:rFonts w:ascii="Times New Roman" w:hAnsi="Times New Roman" w:eastAsia="黑体" w:cs="Times New Roman"/>
      <w:spacing w:val="4"/>
      <w:kern w:val="2"/>
      <w:sz w:val="21"/>
      <w:szCs w:val="24"/>
      <w:lang w:val="en-US" w:eastAsia="zh-CN" w:bidi="ar-SA"/>
    </w:rPr>
  </w:style>
  <w:style w:type="paragraph" w:customStyle="1" w:styleId="17">
    <w:name w:val="3评价标题"/>
    <w:qFormat/>
    <w:uiPriority w:val="0"/>
    <w:pPr>
      <w:spacing w:line="520" w:lineRule="exact"/>
      <w:ind w:firstLine="200" w:firstLineChars="200"/>
      <w:outlineLvl w:val="2"/>
    </w:pPr>
    <w:rPr>
      <w:rFonts w:ascii="Times New Roman" w:hAnsi="Times New Roman" w:eastAsia="黑体" w:cs="Times New Roman"/>
      <w:sz w:val="28"/>
      <w:u w:color="000000"/>
      <w:lang w:val="en-US" w:eastAsia="zh-CN" w:bidi="ar-SA"/>
    </w:rPr>
  </w:style>
  <w:style w:type="paragraph" w:customStyle="1" w:styleId="18">
    <w:name w:val="表内文字"/>
    <w:basedOn w:val="4"/>
    <w:qFormat/>
    <w:uiPriority w:val="0"/>
    <w:pPr>
      <w:spacing w:line="320" w:lineRule="exact"/>
      <w:jc w:val="center"/>
    </w:pPr>
    <w:rPr>
      <w:rFonts w:ascii="Times New Roman" w:hAnsi="Times New Roman"/>
      <w:kern w:val="2"/>
      <w:sz w:val="21"/>
      <w:szCs w:val="21"/>
      <w:u w:color="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2383</Words>
  <Characters>2669</Characters>
  <Lines>0</Lines>
  <Paragraphs>0</Paragraphs>
  <TotalTime>5</TotalTime>
  <ScaleCrop>false</ScaleCrop>
  <LinksUpToDate>false</LinksUpToDate>
  <CharactersWithSpaces>2716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2023-09-27T02:48:00Z</dcterms:created>
  <dc:creator>天舞</dc:creator>
  <cp:lastModifiedBy>1</cp:lastModifiedBy>
  <dcterms:modified xsi:type="dcterms:W3CDTF">2026-05-24T07:24:23Z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158E41C4130D45F7BB2A42425FB8946B_11</vt:lpwstr>
  </property>
  <property fmtid="{D5CDD505-2E9C-101B-9397-08002B2CF9AE}" pid="4" name="KSOTemplateDocerSaveRecord">
    <vt:lpwstr>eyJoZGlkIjoiYTlhMTU5MjYzZjVmNGM5NzEyODNmNDZmYjBlYjY4YWIiLCJ1c2VySWQiOiIxNTA4ODg5MTM0In0=</vt:lpwstr>
  </property>
</Properties>
</file>