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东平县宏途加油站经营危险化学品现状评价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966" w:hRule="atLeast"/>
          <w:jc w:val="center"/>
        </w:trPr>
        <w:tc>
          <w:tcPr>
            <w:tcW w:w="1832"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2072520D">
            <w:pPr>
              <w:pStyle w:val="24"/>
              <w:adjustRightInd w:val="0"/>
              <w:snapToGrid w:val="0"/>
              <w:jc w:val="left"/>
              <w:rPr>
                <w:rFonts w:hint="eastAsia" w:ascii="宋体" w:hAnsi="宋体" w:cs="宋体" w:eastAsiaTheme="minorEastAsia"/>
                <w:b w:val="0"/>
                <w:bCs w:val="0"/>
                <w:color w:val="auto"/>
                <w:kern w:val="0"/>
                <w:sz w:val="21"/>
                <w:szCs w:val="21"/>
                <w:highlight w:val="none"/>
                <w:lang w:eastAsia="zh-CN"/>
              </w:rPr>
            </w:pPr>
            <w:r>
              <w:rPr>
                <w:rFonts w:hint="eastAsia" w:ascii="宋体" w:hAnsi="宋体"/>
                <w:color w:val="auto"/>
                <w:szCs w:val="28"/>
                <w:highlight w:val="none"/>
              </w:rPr>
              <w:t>加油区在站房</w:t>
            </w:r>
            <w:r>
              <w:rPr>
                <w:rFonts w:hint="eastAsia" w:ascii="宋体" w:hAnsi="宋体"/>
                <w:color w:val="auto"/>
                <w:szCs w:val="28"/>
                <w:highlight w:val="none"/>
                <w:lang w:val="en-US" w:eastAsia="zh-CN"/>
              </w:rPr>
              <w:t>东南</w:t>
            </w:r>
            <w:r>
              <w:rPr>
                <w:rFonts w:hint="eastAsia" w:ascii="宋体" w:hAnsi="宋体"/>
                <w:color w:val="auto"/>
                <w:szCs w:val="28"/>
                <w:highlight w:val="none"/>
              </w:rPr>
              <w:t>侧，</w:t>
            </w:r>
            <w:r>
              <w:rPr>
                <w:rFonts w:hint="eastAsia" w:ascii="宋体"/>
                <w:color w:val="auto"/>
                <w:highlight w:val="none"/>
              </w:rPr>
              <w:t>现有2台三枪加油机，均为自吸式；</w:t>
            </w:r>
            <w:r>
              <w:rPr>
                <w:rFonts w:hint="eastAsia" w:ascii="宋体" w:hAnsi="宋体"/>
                <w:color w:val="auto"/>
                <w:szCs w:val="28"/>
                <w:highlight w:val="none"/>
              </w:rPr>
              <w:t>油罐区在站房</w:t>
            </w:r>
            <w:r>
              <w:rPr>
                <w:rFonts w:hint="eastAsia" w:ascii="宋体" w:hAnsi="宋体"/>
                <w:color w:val="auto"/>
                <w:szCs w:val="28"/>
                <w:highlight w:val="none"/>
                <w:lang w:val="en-US" w:eastAsia="zh-CN"/>
              </w:rPr>
              <w:t>西北</w:t>
            </w:r>
            <w:r>
              <w:rPr>
                <w:rFonts w:hint="eastAsia" w:ascii="宋体" w:hAnsi="宋体"/>
                <w:color w:val="auto"/>
                <w:szCs w:val="28"/>
                <w:highlight w:val="none"/>
              </w:rPr>
              <w:t>侧，</w:t>
            </w:r>
            <w:r>
              <w:rPr>
                <w:rFonts w:hint="eastAsia" w:ascii="宋体"/>
                <w:color w:val="auto"/>
                <w:highlight w:val="none"/>
              </w:rPr>
              <w:t>现有4台卧式双层储罐，</w:t>
            </w:r>
            <w:r>
              <w:rPr>
                <w:rFonts w:hint="eastAsia" w:ascii="宋体" w:hAnsi="宋体"/>
                <w:color w:val="auto"/>
                <w:szCs w:val="28"/>
                <w:highlight w:val="none"/>
              </w:rPr>
              <w:t>包括1</w:t>
            </w:r>
            <w:r>
              <w:rPr>
                <w:rFonts w:hint="eastAsia" w:ascii="宋体"/>
                <w:color w:val="auto"/>
                <w:highlight w:val="none"/>
              </w:rPr>
              <w:t>台20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92#汽油罐、</w:t>
            </w:r>
            <w:r>
              <w:rPr>
                <w:rFonts w:hint="eastAsia" w:ascii="宋体" w:hAnsi="宋体"/>
                <w:color w:val="auto"/>
                <w:szCs w:val="28"/>
                <w:highlight w:val="none"/>
              </w:rPr>
              <w:t>1</w:t>
            </w:r>
            <w:r>
              <w:rPr>
                <w:rFonts w:hint="eastAsia" w:ascii="宋体"/>
                <w:color w:val="auto"/>
                <w:highlight w:val="none"/>
              </w:rPr>
              <w:t>台20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95#汽油罐、2台</w:t>
            </w:r>
            <w:r>
              <w:rPr>
                <w:rFonts w:hint="eastAsia" w:ascii="宋体"/>
                <w:color w:val="auto"/>
                <w:highlight w:val="none"/>
              </w:rPr>
              <w:t>30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柴油罐，</w:t>
            </w:r>
            <w:r>
              <w:rPr>
                <w:rFonts w:hint="eastAsia" w:ascii="宋体" w:hAnsi="宋体"/>
                <w:color w:val="auto"/>
                <w:szCs w:val="28"/>
                <w:highlight w:val="none"/>
              </w:rPr>
              <w:t>4台油罐均安装了液位仪、检漏仪，</w:t>
            </w:r>
            <w:r>
              <w:rPr>
                <w:rFonts w:hint="eastAsia" w:ascii="宋体"/>
                <w:color w:val="auto"/>
                <w:highlight w:val="none"/>
              </w:rPr>
              <w:t>油罐埋地设置，通气管4根；该站汽油设有卸油油气回收系统、加油油气回收系统及油气处理装置；该站属三级加油站。</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bookmarkStart w:id="52" w:name="_GoBack"/>
            <w:bookmarkEnd w:id="52"/>
          </w:p>
        </w:tc>
        <w:tc>
          <w:tcPr>
            <w:tcW w:w="2918"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9844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5FDD6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2FABF5A0">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5F54E61B">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崔强</w:t>
            </w:r>
          </w:p>
        </w:tc>
        <w:tc>
          <w:tcPr>
            <w:tcW w:w="2918"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2026.5.27</w:t>
            </w:r>
          </w:p>
        </w:tc>
        <w:tc>
          <w:tcPr>
            <w:tcW w:w="2350"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2026.6.5</w:t>
            </w:r>
          </w:p>
        </w:tc>
        <w:tc>
          <w:tcPr>
            <w:tcW w:w="2350"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2026.6.5</w:t>
            </w:r>
          </w:p>
        </w:tc>
        <w:tc>
          <w:tcPr>
            <w:tcW w:w="2350"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2026.6.6</w:t>
            </w:r>
          </w:p>
        </w:tc>
        <w:tc>
          <w:tcPr>
            <w:tcW w:w="2350"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现场核查</w:t>
            </w: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安全评价报告提交时间：2026.6.15</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193EB1B3">
      <w:pPr>
        <w:pStyle w:val="18"/>
        <w:widowControl w:val="0"/>
        <w:adjustRightInd w:val="0"/>
        <w:snapToGrid w:val="0"/>
        <w:spacing w:before="0" w:beforeLines="0" w:after="0" w:afterLines="0" w:line="360" w:lineRule="auto"/>
      </w:pPr>
      <w:bookmarkStart w:id="0" w:name="_Toc15033742"/>
      <w:bookmarkStart w:id="1" w:name="_Toc102634226"/>
      <w:bookmarkStart w:id="2" w:name="_Toc102633969"/>
      <w:bookmarkStart w:id="3" w:name="_Toc19744"/>
      <w:bookmarkStart w:id="4" w:name="_Toc102633895"/>
      <w:r>
        <w:t>第二章 加油站概况</w:t>
      </w:r>
      <w:bookmarkEnd w:id="0"/>
      <w:bookmarkEnd w:id="1"/>
      <w:bookmarkEnd w:id="2"/>
      <w:bookmarkEnd w:id="3"/>
      <w:bookmarkEnd w:id="4"/>
    </w:p>
    <w:p w14:paraId="1533D48E">
      <w:pPr>
        <w:snapToGrid w:val="0"/>
        <w:spacing w:line="360" w:lineRule="auto"/>
        <w:jc w:val="center"/>
        <w:outlineLvl w:val="1"/>
        <w:rPr>
          <w:rFonts w:ascii="Calibri" w:hAnsi="Calibri" w:eastAsia="楷体_GB2312"/>
          <w:b/>
          <w:kern w:val="0"/>
          <w:sz w:val="32"/>
          <w:szCs w:val="20"/>
        </w:rPr>
      </w:pPr>
      <w:bookmarkStart w:id="5" w:name="_Toc30066"/>
      <w:bookmarkStart w:id="6" w:name="_Toc102634227"/>
      <w:bookmarkStart w:id="7" w:name="_Toc208733856"/>
      <w:bookmarkStart w:id="8" w:name="_Toc15033743"/>
      <w:bookmarkStart w:id="9" w:name="_Toc102633896"/>
      <w:bookmarkStart w:id="10" w:name="_Toc26504"/>
      <w:bookmarkStart w:id="11" w:name="_Toc272364524"/>
      <w:bookmarkStart w:id="12" w:name="_Toc4524"/>
      <w:bookmarkStart w:id="13" w:name="_Toc102633970"/>
      <w:r>
        <w:rPr>
          <w:rFonts w:ascii="Calibri" w:hAnsi="Calibri" w:eastAsia="楷体_GB2312"/>
          <w:b/>
          <w:kern w:val="0"/>
          <w:sz w:val="32"/>
          <w:szCs w:val="20"/>
        </w:rPr>
        <w:t>第一节 加油站基本情况</w:t>
      </w:r>
      <w:bookmarkEnd w:id="5"/>
      <w:bookmarkEnd w:id="6"/>
      <w:bookmarkEnd w:id="7"/>
      <w:bookmarkEnd w:id="8"/>
      <w:bookmarkEnd w:id="9"/>
      <w:bookmarkEnd w:id="10"/>
      <w:bookmarkEnd w:id="11"/>
      <w:bookmarkEnd w:id="12"/>
      <w:bookmarkEnd w:id="13"/>
    </w:p>
    <w:p w14:paraId="006E0BBB">
      <w:pPr>
        <w:pStyle w:val="17"/>
        <w:widowControl w:val="0"/>
        <w:adjustRightInd w:val="0"/>
        <w:snapToGrid w:val="0"/>
        <w:spacing w:line="360" w:lineRule="auto"/>
        <w:ind w:firstLine="560"/>
        <w:rPr>
          <w:rFonts w:ascii="宋体"/>
        </w:rPr>
      </w:pPr>
      <w:r>
        <w:rPr>
          <w:rFonts w:hint="eastAsia" w:ascii="宋体" w:hAnsi="宋体"/>
          <w:szCs w:val="28"/>
        </w:rPr>
        <w:t>东平县宏途加油站位于山东省泰安市东平县戴庙</w:t>
      </w:r>
      <w:r>
        <w:rPr>
          <w:rFonts w:hint="eastAsia" w:ascii="宋体" w:hAnsi="宋体"/>
          <w:szCs w:val="28"/>
          <w:lang w:val="en-US" w:eastAsia="zh-CN"/>
        </w:rPr>
        <w:t>镇</w:t>
      </w:r>
      <w:r>
        <w:rPr>
          <w:rFonts w:hint="eastAsia" w:ascii="宋体" w:hAnsi="宋体"/>
          <w:szCs w:val="28"/>
        </w:rPr>
        <w:t>戴庙村401号，许可范围为汽油、乙醇汽油</w:t>
      </w:r>
      <w:r>
        <w:rPr>
          <w:rFonts w:hint="eastAsia" w:ascii="宋体" w:hAnsi="宋体"/>
          <w:szCs w:val="28"/>
          <w:lang w:eastAsia="zh-CN"/>
        </w:rPr>
        <w:t>（</w:t>
      </w:r>
      <w:r>
        <w:rPr>
          <w:rFonts w:hint="eastAsia" w:ascii="宋体" w:hAnsi="宋体"/>
          <w:szCs w:val="28"/>
          <w:lang w:val="en-US" w:eastAsia="zh-CN"/>
        </w:rPr>
        <w:t>暂未经营</w:t>
      </w:r>
      <w:r>
        <w:rPr>
          <w:rFonts w:hint="eastAsia" w:ascii="宋体" w:hAnsi="宋体"/>
          <w:szCs w:val="28"/>
          <w:lang w:eastAsia="zh-CN"/>
        </w:rPr>
        <w:t>）</w:t>
      </w:r>
      <w:r>
        <w:rPr>
          <w:rFonts w:hint="eastAsia" w:ascii="宋体" w:hAnsi="宋体"/>
          <w:szCs w:val="28"/>
        </w:rPr>
        <w:t>、柴油的零售业务，因市场原因暂未销售乙醇汽油。加油站</w:t>
      </w:r>
      <w:r>
        <w:rPr>
          <w:rFonts w:hint="eastAsia" w:ascii="宋体" w:hAnsi="宋体"/>
          <w:szCs w:val="28"/>
          <w:lang w:val="en-US" w:eastAsia="zh-CN"/>
        </w:rPr>
        <w:t>东</w:t>
      </w:r>
      <w:r>
        <w:rPr>
          <w:rFonts w:hint="eastAsia" w:ascii="宋体" w:hAnsi="宋体"/>
          <w:szCs w:val="28"/>
        </w:rPr>
        <w:t>南侧为220国道，东</w:t>
      </w:r>
      <w:r>
        <w:rPr>
          <w:rFonts w:hint="eastAsia" w:ascii="宋体" w:hAnsi="宋体"/>
          <w:szCs w:val="28"/>
          <w:lang w:val="en-US" w:eastAsia="zh-CN"/>
        </w:rPr>
        <w:t>北</w:t>
      </w:r>
      <w:r>
        <w:rPr>
          <w:rFonts w:hint="eastAsia" w:ascii="宋体" w:hAnsi="宋体"/>
          <w:szCs w:val="28"/>
        </w:rPr>
        <w:t>侧是</w:t>
      </w:r>
      <w:r>
        <w:rPr>
          <w:rFonts w:hint="eastAsia" w:ascii="宋体" w:hAnsi="宋体"/>
          <w:szCs w:val="28"/>
          <w:lang w:val="en-US" w:eastAsia="zh-CN"/>
        </w:rPr>
        <w:t>沿街房</w:t>
      </w:r>
      <w:r>
        <w:rPr>
          <w:rFonts w:hint="eastAsia" w:ascii="宋体" w:hAnsi="宋体"/>
          <w:szCs w:val="28"/>
        </w:rPr>
        <w:t>，北侧是民房，西</w:t>
      </w:r>
      <w:r>
        <w:rPr>
          <w:rFonts w:hint="eastAsia" w:ascii="宋体" w:hAnsi="宋体"/>
          <w:szCs w:val="28"/>
          <w:lang w:val="en-US" w:eastAsia="zh-CN"/>
        </w:rPr>
        <w:t>北</w:t>
      </w:r>
      <w:r>
        <w:rPr>
          <w:rFonts w:hint="eastAsia" w:ascii="宋体" w:hAnsi="宋体"/>
          <w:szCs w:val="28"/>
        </w:rPr>
        <w:t>侧是民房，</w:t>
      </w:r>
      <w:r>
        <w:rPr>
          <w:rFonts w:hint="eastAsia" w:ascii="宋体" w:hAnsi="宋体"/>
          <w:szCs w:val="28"/>
          <w:lang w:val="en-US" w:eastAsia="zh-CN"/>
        </w:rPr>
        <w:t>西南侧是沿街房。</w:t>
      </w:r>
      <w:r>
        <w:rPr>
          <w:rFonts w:hint="eastAsia" w:ascii="宋体" w:hAnsi="宋体"/>
          <w:szCs w:val="28"/>
        </w:rPr>
        <w:t>交通便利。该站成立于2022年06月24日，</w:t>
      </w:r>
      <w:r>
        <w:rPr>
          <w:rFonts w:hint="eastAsia" w:ascii="宋体" w:hAnsi="宋体"/>
          <w:szCs w:val="28"/>
          <w:lang w:val="en-US" w:eastAsia="zh-CN"/>
        </w:rPr>
        <w:t>负责人</w:t>
      </w:r>
      <w:r>
        <w:rPr>
          <w:rFonts w:hint="eastAsia" w:ascii="宋体" w:hAnsi="宋体"/>
          <w:szCs w:val="28"/>
        </w:rPr>
        <w:t>：</w:t>
      </w:r>
      <w:r>
        <w:rPr>
          <w:rFonts w:hint="eastAsia" w:ascii="宋体" w:hAnsi="宋体"/>
          <w:szCs w:val="28"/>
          <w:lang w:val="en-US" w:eastAsia="zh-CN"/>
        </w:rPr>
        <w:t>李玉华</w:t>
      </w:r>
      <w:r>
        <w:rPr>
          <w:rFonts w:hint="eastAsia" w:ascii="宋体" w:hAnsi="宋体"/>
          <w:szCs w:val="28"/>
        </w:rPr>
        <w:t>。该站曾用名称为：东平县戴庙农机加油站、山东汇丰石化集团销售有限公司泰安第八零七加油站，于2022年变更为东平县宏途加油站。此次现状评价报告与三年前报告相比，</w:t>
      </w:r>
      <w:r>
        <w:rPr>
          <w:rFonts w:hint="eastAsia" w:ascii="宋体" w:hAnsi="宋体"/>
          <w:szCs w:val="28"/>
          <w:lang w:val="en-US" w:eastAsia="zh-CN"/>
        </w:rPr>
        <w:t>更换了液位仪控制器、增设了1台可燃气体报警器。</w:t>
      </w:r>
      <w:r>
        <w:rPr>
          <w:rFonts w:hint="eastAsia" w:ascii="宋体" w:hAnsi="宋体"/>
          <w:szCs w:val="28"/>
        </w:rPr>
        <w:t>周边环境、总平面布置均未发生改变。</w:t>
      </w:r>
    </w:p>
    <w:p w14:paraId="09261C78">
      <w:pPr>
        <w:pStyle w:val="17"/>
        <w:widowControl w:val="0"/>
        <w:adjustRightInd w:val="0"/>
        <w:snapToGrid w:val="0"/>
        <w:spacing w:line="360" w:lineRule="auto"/>
        <w:ind w:firstLine="560"/>
        <w:rPr>
          <w:rFonts w:hint="eastAsia" w:ascii="宋体"/>
          <w:color w:val="auto"/>
          <w:highlight w:val="none"/>
        </w:rPr>
      </w:pPr>
      <w:r>
        <w:rPr>
          <w:rFonts w:hint="eastAsia" w:ascii="宋体" w:hAnsi="宋体"/>
          <w:color w:val="auto"/>
          <w:szCs w:val="28"/>
          <w:highlight w:val="none"/>
        </w:rPr>
        <w:t>该加油站主要建构筑物有站房、罩棚、油罐区、加油区、办公间等。加油区在站房</w:t>
      </w:r>
      <w:r>
        <w:rPr>
          <w:rFonts w:hint="eastAsia" w:ascii="宋体" w:hAnsi="宋体"/>
          <w:color w:val="auto"/>
          <w:szCs w:val="28"/>
          <w:highlight w:val="none"/>
          <w:lang w:val="en-US" w:eastAsia="zh-CN"/>
        </w:rPr>
        <w:t>东南</w:t>
      </w:r>
      <w:r>
        <w:rPr>
          <w:rFonts w:hint="eastAsia" w:ascii="宋体" w:hAnsi="宋体"/>
          <w:color w:val="auto"/>
          <w:szCs w:val="28"/>
          <w:highlight w:val="none"/>
        </w:rPr>
        <w:t>侧，</w:t>
      </w:r>
      <w:r>
        <w:rPr>
          <w:rFonts w:hint="eastAsia" w:ascii="宋体"/>
          <w:color w:val="auto"/>
          <w:highlight w:val="none"/>
        </w:rPr>
        <w:t>现有2台三枪加油机，均为自吸式；</w:t>
      </w:r>
      <w:r>
        <w:rPr>
          <w:rFonts w:hint="eastAsia" w:ascii="宋体" w:hAnsi="宋体"/>
          <w:color w:val="auto"/>
          <w:szCs w:val="28"/>
          <w:highlight w:val="none"/>
        </w:rPr>
        <w:t>油罐区在站房</w:t>
      </w:r>
      <w:r>
        <w:rPr>
          <w:rFonts w:hint="eastAsia" w:ascii="宋体" w:hAnsi="宋体"/>
          <w:color w:val="auto"/>
          <w:szCs w:val="28"/>
          <w:highlight w:val="none"/>
          <w:lang w:val="en-US" w:eastAsia="zh-CN"/>
        </w:rPr>
        <w:t>西北</w:t>
      </w:r>
      <w:r>
        <w:rPr>
          <w:rFonts w:hint="eastAsia" w:ascii="宋体" w:hAnsi="宋体"/>
          <w:color w:val="auto"/>
          <w:szCs w:val="28"/>
          <w:highlight w:val="none"/>
        </w:rPr>
        <w:t>侧，</w:t>
      </w:r>
      <w:r>
        <w:rPr>
          <w:rFonts w:hint="eastAsia" w:ascii="宋体"/>
          <w:color w:val="auto"/>
          <w:highlight w:val="none"/>
        </w:rPr>
        <w:t>现有4台卧式双层储罐，</w:t>
      </w:r>
      <w:r>
        <w:rPr>
          <w:rFonts w:hint="eastAsia" w:ascii="宋体" w:hAnsi="宋体"/>
          <w:color w:val="auto"/>
          <w:szCs w:val="28"/>
          <w:highlight w:val="none"/>
        </w:rPr>
        <w:t>包括1</w:t>
      </w:r>
      <w:r>
        <w:rPr>
          <w:rFonts w:hint="eastAsia" w:ascii="宋体"/>
          <w:color w:val="auto"/>
          <w:highlight w:val="none"/>
        </w:rPr>
        <w:t>台20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92#汽油罐、</w:t>
      </w:r>
      <w:r>
        <w:rPr>
          <w:rFonts w:hint="eastAsia" w:ascii="宋体" w:hAnsi="宋体"/>
          <w:color w:val="auto"/>
          <w:szCs w:val="28"/>
          <w:highlight w:val="none"/>
        </w:rPr>
        <w:t>1</w:t>
      </w:r>
      <w:r>
        <w:rPr>
          <w:rFonts w:hint="eastAsia" w:ascii="宋体"/>
          <w:color w:val="auto"/>
          <w:highlight w:val="none"/>
        </w:rPr>
        <w:t>台20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95#汽油罐、2台</w:t>
      </w:r>
      <w:r>
        <w:rPr>
          <w:rFonts w:hint="eastAsia" w:ascii="宋体"/>
          <w:color w:val="auto"/>
          <w:highlight w:val="none"/>
        </w:rPr>
        <w:t>30</w:t>
      </w:r>
      <w:r>
        <w:rPr>
          <w:rFonts w:ascii="宋体"/>
          <w:color w:val="auto"/>
          <w:highlight w:val="none"/>
        </w:rPr>
        <w:t>m</w:t>
      </w:r>
      <w:r>
        <w:rPr>
          <w:rFonts w:ascii="宋体"/>
          <w:color w:val="auto"/>
          <w:highlight w:val="none"/>
          <w:vertAlign w:val="superscript"/>
        </w:rPr>
        <w:t>3</w:t>
      </w:r>
      <w:r>
        <w:rPr>
          <w:rFonts w:hint="eastAsia" w:ascii="宋体" w:hAnsi="宋体"/>
          <w:color w:val="auto"/>
          <w:highlight w:val="none"/>
        </w:rPr>
        <w:t>柴油罐，</w:t>
      </w:r>
      <w:r>
        <w:rPr>
          <w:rFonts w:hint="eastAsia" w:ascii="宋体" w:hAnsi="宋体"/>
          <w:color w:val="auto"/>
          <w:szCs w:val="28"/>
          <w:highlight w:val="none"/>
        </w:rPr>
        <w:t>4台油罐均安装了液位仪、检漏仪，</w:t>
      </w:r>
      <w:r>
        <w:rPr>
          <w:rFonts w:hint="eastAsia" w:ascii="宋体"/>
          <w:color w:val="auto"/>
          <w:highlight w:val="none"/>
        </w:rPr>
        <w:t>油罐埋地设置，通气管4根；该站汽油设有卸油油气回收系统、加油油气回收系统及油气处理装置；按《汽车加油加气加氢站技术标准》GB50156-2021标准规定：V=70m</w:t>
      </w:r>
      <w:r>
        <w:rPr>
          <w:rFonts w:hint="eastAsia" w:ascii="宋体"/>
          <w:color w:val="auto"/>
          <w:highlight w:val="none"/>
          <w:vertAlign w:val="superscript"/>
        </w:rPr>
        <w:t>3</w:t>
      </w:r>
      <w:r>
        <w:rPr>
          <w:rFonts w:hint="eastAsia" w:ascii="宋体"/>
          <w:color w:val="auto"/>
          <w:highlight w:val="none"/>
        </w:rPr>
        <w:t>，该站属三级加油站。</w:t>
      </w:r>
    </w:p>
    <w:p w14:paraId="6F28B4AE">
      <w:pPr>
        <w:pStyle w:val="19"/>
        <w:widowControl w:val="0"/>
        <w:adjustRightInd w:val="0"/>
        <w:snapToGrid w:val="0"/>
        <w:spacing w:line="360" w:lineRule="auto"/>
        <w:outlineLvl w:val="9"/>
      </w:pPr>
      <w:r>
        <w:t>表</w:t>
      </w:r>
      <w:r>
        <w:rPr>
          <w:rFonts w:ascii="黑体" w:hAnsi="黑体"/>
        </w:rPr>
        <w:t xml:space="preserve">2.1-1 </w:t>
      </w:r>
      <w: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0B3616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07A8644F">
            <w:pPr>
              <w:pStyle w:val="20"/>
              <w:widowControl w:val="0"/>
              <w:spacing w:line="360" w:lineRule="auto"/>
              <w:rPr>
                <w:rFonts w:ascii="宋体" w:hAnsi="宋体"/>
                <w:b/>
                <w:bCs/>
              </w:rPr>
            </w:pPr>
            <w:r>
              <w:rPr>
                <w:rFonts w:ascii="宋体" w:hAnsi="宋体"/>
                <w:b/>
                <w:bCs/>
              </w:rPr>
              <w:t>加油站</w:t>
            </w:r>
            <w:r>
              <w:rPr>
                <w:rFonts w:hint="eastAsia" w:ascii="宋体" w:hAnsi="宋体"/>
                <w:b/>
                <w:bCs/>
              </w:rPr>
              <w:t>等级</w:t>
            </w:r>
          </w:p>
        </w:tc>
        <w:tc>
          <w:tcPr>
            <w:tcW w:w="3338" w:type="pct"/>
            <w:gridSpan w:val="2"/>
            <w:vAlign w:val="center"/>
          </w:tcPr>
          <w:p w14:paraId="621CF028">
            <w:pPr>
              <w:pStyle w:val="20"/>
              <w:widowControl w:val="0"/>
              <w:spacing w:line="360" w:lineRule="auto"/>
              <w:rPr>
                <w:rFonts w:ascii="宋体" w:hAnsi="宋体"/>
                <w:b/>
                <w:bCs/>
              </w:rPr>
            </w:pPr>
            <w:r>
              <w:rPr>
                <w:rFonts w:ascii="宋体" w:hAnsi="宋体"/>
                <w:b/>
                <w:bCs/>
              </w:rPr>
              <w:t>加油站油罐容积（m</w:t>
            </w:r>
            <w:r>
              <w:rPr>
                <w:rFonts w:ascii="宋体" w:hAnsi="宋体"/>
                <w:b/>
                <w:bCs/>
                <w:vertAlign w:val="superscript"/>
              </w:rPr>
              <w:t>3</w:t>
            </w:r>
            <w:r>
              <w:rPr>
                <w:rFonts w:ascii="宋体" w:hAnsi="宋体"/>
                <w:b/>
                <w:bCs/>
              </w:rPr>
              <w:t>）</w:t>
            </w:r>
          </w:p>
        </w:tc>
      </w:tr>
      <w:tr w14:paraId="34B36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351C7CF7">
            <w:pPr>
              <w:pStyle w:val="20"/>
              <w:widowControl w:val="0"/>
              <w:spacing w:line="360" w:lineRule="auto"/>
              <w:rPr>
                <w:rFonts w:ascii="宋体" w:hAnsi="宋体"/>
                <w:b/>
                <w:bCs/>
              </w:rPr>
            </w:pPr>
          </w:p>
        </w:tc>
        <w:tc>
          <w:tcPr>
            <w:tcW w:w="1667" w:type="pct"/>
            <w:vAlign w:val="center"/>
          </w:tcPr>
          <w:p w14:paraId="20F2EB25">
            <w:pPr>
              <w:pStyle w:val="20"/>
              <w:widowControl w:val="0"/>
              <w:spacing w:line="360" w:lineRule="auto"/>
              <w:rPr>
                <w:rFonts w:ascii="宋体" w:hAnsi="宋体"/>
                <w:b/>
                <w:bCs/>
              </w:rPr>
            </w:pPr>
            <w:r>
              <w:rPr>
                <w:rFonts w:ascii="宋体" w:hAnsi="宋体"/>
                <w:b/>
                <w:bCs/>
              </w:rPr>
              <w:t>总容积</w:t>
            </w:r>
            <w:r>
              <w:rPr>
                <w:rFonts w:hint="eastAsia" w:ascii="宋体" w:hAnsi="宋体"/>
                <w:b/>
                <w:bCs/>
              </w:rPr>
              <w:t>V</w:t>
            </w:r>
          </w:p>
        </w:tc>
        <w:tc>
          <w:tcPr>
            <w:tcW w:w="1671" w:type="pct"/>
            <w:vAlign w:val="center"/>
          </w:tcPr>
          <w:p w14:paraId="2233B4FF">
            <w:pPr>
              <w:pStyle w:val="20"/>
              <w:widowControl w:val="0"/>
              <w:spacing w:line="360" w:lineRule="auto"/>
              <w:rPr>
                <w:rFonts w:ascii="宋体" w:hAnsi="宋体"/>
                <w:b/>
                <w:bCs/>
              </w:rPr>
            </w:pPr>
            <w:r>
              <w:rPr>
                <w:rFonts w:ascii="宋体" w:hAnsi="宋体"/>
                <w:b/>
                <w:bCs/>
              </w:rPr>
              <w:t>单罐容积</w:t>
            </w:r>
          </w:p>
        </w:tc>
      </w:tr>
      <w:tr w14:paraId="0AE03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61FE6FB5">
            <w:pPr>
              <w:pStyle w:val="20"/>
              <w:widowControl w:val="0"/>
              <w:spacing w:line="360" w:lineRule="auto"/>
              <w:rPr>
                <w:rFonts w:ascii="宋体" w:hAnsi="宋体"/>
              </w:rPr>
            </w:pPr>
            <w:r>
              <w:rPr>
                <w:rFonts w:ascii="宋体" w:hAnsi="宋体"/>
              </w:rPr>
              <w:t>一级</w:t>
            </w:r>
          </w:p>
        </w:tc>
        <w:tc>
          <w:tcPr>
            <w:tcW w:w="1667" w:type="pct"/>
            <w:vAlign w:val="center"/>
          </w:tcPr>
          <w:p w14:paraId="791067A4">
            <w:pPr>
              <w:pStyle w:val="20"/>
              <w:widowControl w:val="0"/>
              <w:spacing w:line="360" w:lineRule="auto"/>
              <w:rPr>
                <w:rFonts w:ascii="宋体" w:hAnsi="宋体"/>
              </w:rPr>
            </w:pPr>
            <w:r>
              <w:rPr>
                <w:rFonts w:ascii="宋体" w:hAnsi="宋体"/>
              </w:rPr>
              <w:t>150＜V</w:t>
            </w:r>
            <w:r>
              <w:rPr>
                <w:rFonts w:hint="eastAsia" w:ascii="宋体" w:hAnsi="宋体"/>
              </w:rPr>
              <w:t>≤</w:t>
            </w:r>
            <w:r>
              <w:rPr>
                <w:rFonts w:ascii="宋体" w:hAnsi="宋体"/>
              </w:rPr>
              <w:t>210</w:t>
            </w:r>
          </w:p>
        </w:tc>
        <w:tc>
          <w:tcPr>
            <w:tcW w:w="1671" w:type="pct"/>
            <w:vAlign w:val="center"/>
          </w:tcPr>
          <w:p w14:paraId="0564E635">
            <w:pPr>
              <w:pStyle w:val="20"/>
              <w:widowControl w:val="0"/>
              <w:spacing w:line="360" w:lineRule="auto"/>
              <w:rPr>
                <w:rFonts w:ascii="宋体" w:hAnsi="宋体"/>
              </w:rPr>
            </w:pPr>
            <w:r>
              <w:rPr>
                <w:rFonts w:hint="eastAsia" w:ascii="宋体" w:hAnsi="宋体"/>
              </w:rPr>
              <w:t>≤</w:t>
            </w:r>
            <w:r>
              <w:rPr>
                <w:rFonts w:ascii="宋体" w:hAnsi="宋体"/>
              </w:rPr>
              <w:t>50</w:t>
            </w:r>
          </w:p>
        </w:tc>
      </w:tr>
      <w:tr w14:paraId="3E81D2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573D73A3">
            <w:pPr>
              <w:pStyle w:val="20"/>
              <w:widowControl w:val="0"/>
              <w:spacing w:line="360" w:lineRule="auto"/>
              <w:rPr>
                <w:rFonts w:ascii="宋体" w:hAnsi="宋体"/>
              </w:rPr>
            </w:pPr>
            <w:r>
              <w:rPr>
                <w:rFonts w:ascii="宋体" w:hAnsi="宋体"/>
              </w:rPr>
              <w:t>二级</w:t>
            </w:r>
          </w:p>
        </w:tc>
        <w:tc>
          <w:tcPr>
            <w:tcW w:w="1667" w:type="pct"/>
            <w:vAlign w:val="center"/>
          </w:tcPr>
          <w:p w14:paraId="6B8A1CE3">
            <w:pPr>
              <w:pStyle w:val="20"/>
              <w:widowControl w:val="0"/>
              <w:spacing w:line="360" w:lineRule="auto"/>
              <w:rPr>
                <w:rFonts w:ascii="宋体" w:hAnsi="宋体"/>
              </w:rPr>
            </w:pPr>
            <w:r>
              <w:rPr>
                <w:rFonts w:ascii="宋体" w:hAnsi="宋体"/>
              </w:rPr>
              <w:t>90</w:t>
            </w:r>
            <w:r>
              <w:rPr>
                <w:rFonts w:hint="eastAsia" w:ascii="宋体" w:hAnsi="宋体"/>
              </w:rPr>
              <w:t>＜</w:t>
            </w:r>
            <w:r>
              <w:rPr>
                <w:rFonts w:ascii="宋体" w:hAnsi="宋体"/>
              </w:rPr>
              <w:t>V</w:t>
            </w:r>
            <w:r>
              <w:rPr>
                <w:rFonts w:hint="eastAsia" w:ascii="宋体" w:hAnsi="宋体"/>
              </w:rPr>
              <w:t>≤</w:t>
            </w:r>
            <w:r>
              <w:rPr>
                <w:rFonts w:ascii="宋体" w:hAnsi="宋体"/>
              </w:rPr>
              <w:t>150</w:t>
            </w:r>
          </w:p>
        </w:tc>
        <w:tc>
          <w:tcPr>
            <w:tcW w:w="1671" w:type="pct"/>
            <w:vAlign w:val="center"/>
          </w:tcPr>
          <w:p w14:paraId="2C832727">
            <w:pPr>
              <w:pStyle w:val="20"/>
              <w:widowControl w:val="0"/>
              <w:spacing w:line="360" w:lineRule="auto"/>
              <w:rPr>
                <w:rFonts w:ascii="宋体" w:hAnsi="宋体"/>
              </w:rPr>
            </w:pPr>
            <w:r>
              <w:rPr>
                <w:rFonts w:hint="eastAsia" w:ascii="宋体" w:hAnsi="宋体"/>
              </w:rPr>
              <w:t>≤</w:t>
            </w:r>
            <w:r>
              <w:rPr>
                <w:rFonts w:ascii="宋体" w:hAnsi="宋体"/>
              </w:rPr>
              <w:t>50</w:t>
            </w:r>
          </w:p>
        </w:tc>
      </w:tr>
      <w:tr w14:paraId="7F0C6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156A7A06">
            <w:pPr>
              <w:pStyle w:val="20"/>
              <w:widowControl w:val="0"/>
              <w:spacing w:line="360" w:lineRule="auto"/>
              <w:rPr>
                <w:rFonts w:ascii="宋体" w:hAnsi="宋体"/>
              </w:rPr>
            </w:pPr>
            <w:r>
              <w:rPr>
                <w:rFonts w:ascii="宋体" w:hAnsi="宋体"/>
              </w:rPr>
              <w:t>三级</w:t>
            </w:r>
          </w:p>
        </w:tc>
        <w:tc>
          <w:tcPr>
            <w:tcW w:w="1667" w:type="pct"/>
            <w:vAlign w:val="center"/>
          </w:tcPr>
          <w:p w14:paraId="30D7FD31">
            <w:pPr>
              <w:pStyle w:val="20"/>
              <w:widowControl w:val="0"/>
              <w:spacing w:line="360" w:lineRule="auto"/>
              <w:rPr>
                <w:rFonts w:ascii="宋体" w:hAnsi="宋体"/>
              </w:rPr>
            </w:pPr>
            <w:r>
              <w:rPr>
                <w:rFonts w:ascii="宋体" w:hAnsi="宋体"/>
              </w:rPr>
              <w:t>V</w:t>
            </w:r>
            <w:r>
              <w:rPr>
                <w:rFonts w:hint="eastAsia" w:ascii="宋体" w:hAnsi="宋体"/>
              </w:rPr>
              <w:t>≤</w:t>
            </w:r>
            <w:r>
              <w:rPr>
                <w:rFonts w:ascii="宋体" w:hAnsi="宋体"/>
              </w:rPr>
              <w:t>90</w:t>
            </w:r>
          </w:p>
        </w:tc>
        <w:tc>
          <w:tcPr>
            <w:tcW w:w="1671" w:type="pct"/>
            <w:vAlign w:val="center"/>
          </w:tcPr>
          <w:p w14:paraId="6918FF70">
            <w:pPr>
              <w:pStyle w:val="20"/>
              <w:widowControl w:val="0"/>
              <w:spacing w:line="360" w:lineRule="auto"/>
              <w:rPr>
                <w:rFonts w:ascii="宋体" w:hAnsi="宋体"/>
              </w:rPr>
            </w:pPr>
            <w:r>
              <w:rPr>
                <w:rFonts w:hint="eastAsia" w:ascii="宋体" w:hAnsi="宋体"/>
              </w:rPr>
              <w:t>汽油</w:t>
            </w:r>
            <w:r>
              <w:rPr>
                <w:rFonts w:ascii="宋体" w:hAnsi="宋体"/>
              </w:rPr>
              <w:t>罐</w:t>
            </w:r>
            <w:r>
              <w:rPr>
                <w:rFonts w:hint="eastAsia" w:ascii="宋体" w:hAnsi="宋体"/>
              </w:rPr>
              <w:t>≤</w:t>
            </w:r>
            <w:r>
              <w:rPr>
                <w:rFonts w:ascii="宋体" w:hAnsi="宋体"/>
              </w:rPr>
              <w:t>30，柴油罐</w:t>
            </w:r>
            <w:r>
              <w:rPr>
                <w:rFonts w:hint="eastAsia" w:ascii="宋体" w:hAnsi="宋体"/>
              </w:rPr>
              <w:t>≤</w:t>
            </w:r>
            <w:r>
              <w:rPr>
                <w:rFonts w:ascii="宋体" w:hAnsi="宋体"/>
              </w:rPr>
              <w:t>50</w:t>
            </w:r>
          </w:p>
        </w:tc>
      </w:tr>
    </w:tbl>
    <w:p w14:paraId="19B96555">
      <w:pPr>
        <w:pStyle w:val="21"/>
        <w:widowControl w:val="0"/>
        <w:spacing w:line="360" w:lineRule="auto"/>
        <w:ind w:firstLine="436"/>
      </w:pPr>
      <w:r>
        <w:t>注：</w:t>
      </w:r>
      <w:r>
        <w:rPr>
          <w:rFonts w:hint="eastAsia"/>
        </w:rPr>
        <w:t>V为油罐总容积。</w:t>
      </w:r>
      <w:r>
        <w:t>柴油罐容积可折半计入油罐总容积。</w:t>
      </w:r>
    </w:p>
    <w:p w14:paraId="78712759">
      <w:pPr>
        <w:pStyle w:val="17"/>
        <w:widowControl w:val="0"/>
        <w:adjustRightInd w:val="0"/>
        <w:snapToGrid w:val="0"/>
        <w:spacing w:line="360" w:lineRule="auto"/>
        <w:ind w:firstLine="560"/>
        <w:rPr>
          <w:rFonts w:ascii="宋体"/>
        </w:rPr>
      </w:pPr>
      <w:r>
        <w:rPr>
          <w:rFonts w:ascii="宋体"/>
          <w:color w:val="auto"/>
          <w:highlight w:val="none"/>
        </w:rPr>
        <w:t>该站现有职工</w:t>
      </w:r>
      <w:r>
        <w:rPr>
          <w:rFonts w:hint="eastAsia" w:ascii="宋体"/>
          <w:color w:val="auto"/>
          <w:highlight w:val="none"/>
        </w:rPr>
        <w:t>6人</w:t>
      </w:r>
      <w:r>
        <w:rPr>
          <w:rFonts w:hint="eastAsia" w:ascii="宋体"/>
          <w:color w:val="auto"/>
          <w:highlight w:val="none"/>
          <w:lang w:eastAsia="zh-CN"/>
        </w:rPr>
        <w:t>（</w:t>
      </w:r>
      <w:r>
        <w:rPr>
          <w:rFonts w:hint="eastAsia" w:ascii="宋体"/>
          <w:color w:val="auto"/>
          <w:highlight w:val="none"/>
          <w:lang w:val="en-US" w:eastAsia="zh-CN"/>
        </w:rPr>
        <w:t>安全责任险8人，离职2人</w:t>
      </w:r>
      <w:r>
        <w:rPr>
          <w:rFonts w:hint="eastAsia" w:ascii="宋体"/>
          <w:color w:val="auto"/>
          <w:highlight w:val="none"/>
          <w:lang w:eastAsia="zh-CN"/>
        </w:rPr>
        <w:t>）</w:t>
      </w:r>
      <w:r>
        <w:rPr>
          <w:rFonts w:ascii="宋体"/>
          <w:color w:val="auto"/>
          <w:highlight w:val="none"/>
        </w:rPr>
        <w:t>，</w:t>
      </w:r>
      <w:r>
        <w:rPr>
          <w:rFonts w:hint="eastAsia" w:ascii="宋体"/>
          <w:color w:val="auto"/>
          <w:highlight w:val="none"/>
        </w:rPr>
        <w:t>其中</w:t>
      </w:r>
      <w:r>
        <w:rPr>
          <w:rFonts w:ascii="宋体"/>
          <w:color w:val="auto"/>
          <w:highlight w:val="none"/>
        </w:rPr>
        <w:t>主要负责人1人，安全生产管理人员1</w:t>
      </w:r>
      <w:r>
        <w:rPr>
          <w:rFonts w:hint="eastAsia" w:ascii="宋体"/>
          <w:color w:val="auto"/>
          <w:highlight w:val="none"/>
        </w:rPr>
        <w:t>人。</w:t>
      </w:r>
      <w:r>
        <w:rPr>
          <w:rFonts w:hint="eastAsia" w:ascii="宋体" w:hAnsi="宋体"/>
          <w:color w:val="auto"/>
          <w:sz w:val="28"/>
        </w:rPr>
        <w:t>主要负责人和安全生产管理人员已参加了危险化学品安全管理培训，并取得考核合格证，</w:t>
      </w:r>
      <w:r>
        <w:rPr>
          <w:rFonts w:ascii="宋体"/>
        </w:rPr>
        <w:t>详见附件。</w:t>
      </w:r>
    </w:p>
    <w:p w14:paraId="52C66755">
      <w:pPr>
        <w:pStyle w:val="17"/>
        <w:widowControl w:val="0"/>
        <w:spacing w:line="360" w:lineRule="auto"/>
        <w:ind w:firstLine="560"/>
        <w:rPr>
          <w:rFonts w:ascii="宋体"/>
          <w:color w:val="auto"/>
          <w:highlight w:val="none"/>
        </w:rPr>
      </w:pPr>
      <w:r>
        <w:rPr>
          <w:rFonts w:ascii="宋体"/>
          <w:color w:val="auto"/>
          <w:highlight w:val="none"/>
        </w:rPr>
        <w:t>20</w:t>
      </w:r>
      <w:r>
        <w:rPr>
          <w:rFonts w:hint="eastAsia" w:ascii="宋体"/>
          <w:color w:val="auto"/>
          <w:highlight w:val="none"/>
        </w:rPr>
        <w:t>2</w:t>
      </w:r>
      <w:r>
        <w:rPr>
          <w:rFonts w:hint="eastAsia" w:ascii="宋体"/>
          <w:color w:val="auto"/>
          <w:highlight w:val="none"/>
          <w:lang w:val="en-US" w:eastAsia="zh-CN"/>
        </w:rPr>
        <w:t>3</w:t>
      </w:r>
      <w:r>
        <w:rPr>
          <w:rFonts w:hint="eastAsia" w:ascii="宋体"/>
          <w:color w:val="auto"/>
          <w:highlight w:val="none"/>
        </w:rPr>
        <w:t>年0</w:t>
      </w:r>
      <w:r>
        <w:rPr>
          <w:rFonts w:hint="eastAsia" w:ascii="宋体"/>
          <w:color w:val="auto"/>
          <w:highlight w:val="none"/>
          <w:lang w:val="en-US" w:eastAsia="zh-CN"/>
        </w:rPr>
        <w:t>8</w:t>
      </w:r>
      <w:r>
        <w:rPr>
          <w:rFonts w:hint="eastAsia" w:ascii="宋体"/>
          <w:color w:val="auto"/>
          <w:highlight w:val="none"/>
        </w:rPr>
        <w:t>月</w:t>
      </w:r>
      <w:r>
        <w:rPr>
          <w:rFonts w:hint="eastAsia" w:ascii="宋体"/>
          <w:color w:val="auto"/>
          <w:highlight w:val="none"/>
          <w:lang w:val="en-US" w:eastAsia="zh-CN"/>
        </w:rPr>
        <w:t>18</w:t>
      </w:r>
      <w:r>
        <w:rPr>
          <w:rFonts w:hint="eastAsia" w:ascii="宋体"/>
          <w:color w:val="auto"/>
          <w:highlight w:val="none"/>
        </w:rPr>
        <w:t>日变更了《危险化学品经营许可证》，证书编号：鲁泰危化经[202</w:t>
      </w:r>
      <w:r>
        <w:rPr>
          <w:rFonts w:hint="eastAsia" w:ascii="宋体"/>
          <w:color w:val="auto"/>
          <w:highlight w:val="none"/>
          <w:lang w:val="en-US" w:eastAsia="zh-CN"/>
        </w:rPr>
        <w:t>3</w:t>
      </w:r>
      <w:r>
        <w:rPr>
          <w:rFonts w:hint="eastAsia" w:ascii="宋体"/>
          <w:color w:val="auto"/>
          <w:highlight w:val="none"/>
        </w:rPr>
        <w:t>]000157，有效期202</w:t>
      </w:r>
      <w:r>
        <w:rPr>
          <w:rFonts w:hint="eastAsia" w:ascii="宋体"/>
          <w:color w:val="auto"/>
          <w:highlight w:val="none"/>
          <w:lang w:val="en-US" w:eastAsia="zh-CN"/>
        </w:rPr>
        <w:t>3</w:t>
      </w:r>
      <w:r>
        <w:rPr>
          <w:rFonts w:hint="eastAsia" w:ascii="宋体"/>
          <w:color w:val="auto"/>
          <w:highlight w:val="none"/>
        </w:rPr>
        <w:t>年08月18日至202</w:t>
      </w:r>
      <w:r>
        <w:rPr>
          <w:rFonts w:hint="eastAsia" w:ascii="宋体"/>
          <w:color w:val="auto"/>
          <w:highlight w:val="none"/>
          <w:lang w:val="en-US" w:eastAsia="zh-CN"/>
        </w:rPr>
        <w:t>6</w:t>
      </w:r>
      <w:r>
        <w:rPr>
          <w:rFonts w:hint="eastAsia" w:ascii="宋体"/>
          <w:color w:val="auto"/>
          <w:highlight w:val="none"/>
        </w:rPr>
        <w:t>年08月1</w:t>
      </w:r>
      <w:r>
        <w:rPr>
          <w:rFonts w:hint="eastAsia" w:ascii="宋体"/>
          <w:color w:val="auto"/>
          <w:highlight w:val="none"/>
          <w:lang w:val="en-US" w:eastAsia="zh-CN"/>
        </w:rPr>
        <w:t>7</w:t>
      </w:r>
      <w:r>
        <w:rPr>
          <w:rFonts w:hint="eastAsia" w:ascii="宋体"/>
          <w:color w:val="auto"/>
          <w:highlight w:val="none"/>
        </w:rPr>
        <w:t>日。证书见附件</w:t>
      </w:r>
      <w:r>
        <w:rPr>
          <w:rFonts w:ascii="宋体"/>
          <w:color w:val="auto"/>
          <w:highlight w:val="none"/>
        </w:rPr>
        <w:t>。</w:t>
      </w:r>
    </w:p>
    <w:p w14:paraId="3D3108D7">
      <w:pPr>
        <w:pStyle w:val="17"/>
        <w:widowControl w:val="0"/>
        <w:spacing w:line="360" w:lineRule="auto"/>
        <w:ind w:firstLine="560"/>
        <w:rPr>
          <w:rFonts w:ascii="宋体"/>
          <w:color w:val="auto"/>
          <w:highlight w:val="none"/>
        </w:rPr>
      </w:pPr>
      <w:r>
        <w:rPr>
          <w:rFonts w:ascii="宋体"/>
          <w:color w:val="auto"/>
          <w:highlight w:val="none"/>
        </w:rPr>
        <w:t>20</w:t>
      </w:r>
      <w:r>
        <w:rPr>
          <w:rFonts w:hint="eastAsia" w:ascii="宋体"/>
          <w:color w:val="auto"/>
          <w:highlight w:val="none"/>
        </w:rPr>
        <w:t>2</w:t>
      </w:r>
      <w:r>
        <w:rPr>
          <w:rFonts w:hint="eastAsia" w:ascii="宋体"/>
          <w:color w:val="auto"/>
          <w:highlight w:val="none"/>
          <w:lang w:val="en-US" w:eastAsia="zh-CN"/>
        </w:rPr>
        <w:t>3</w:t>
      </w:r>
      <w:r>
        <w:rPr>
          <w:rFonts w:ascii="宋体"/>
          <w:color w:val="auto"/>
          <w:highlight w:val="none"/>
        </w:rPr>
        <w:t>年</w:t>
      </w:r>
      <w:r>
        <w:rPr>
          <w:rFonts w:hint="eastAsia" w:ascii="宋体"/>
          <w:color w:val="auto"/>
          <w:highlight w:val="none"/>
        </w:rPr>
        <w:t>0</w:t>
      </w:r>
      <w:r>
        <w:rPr>
          <w:rFonts w:hint="eastAsia" w:ascii="宋体"/>
          <w:color w:val="auto"/>
          <w:highlight w:val="none"/>
          <w:lang w:val="en-US" w:eastAsia="zh-CN"/>
        </w:rPr>
        <w:t>9</w:t>
      </w:r>
      <w:r>
        <w:rPr>
          <w:rFonts w:ascii="宋体"/>
          <w:color w:val="auto"/>
          <w:highlight w:val="none"/>
        </w:rPr>
        <w:t>月</w:t>
      </w:r>
      <w:r>
        <w:rPr>
          <w:rFonts w:hint="eastAsia" w:ascii="宋体"/>
          <w:color w:val="auto"/>
          <w:highlight w:val="none"/>
        </w:rPr>
        <w:t>2</w:t>
      </w:r>
      <w:r>
        <w:rPr>
          <w:rFonts w:hint="eastAsia" w:ascii="宋体"/>
          <w:color w:val="auto"/>
          <w:highlight w:val="none"/>
          <w:lang w:val="en-US" w:eastAsia="zh-CN"/>
        </w:rPr>
        <w:t>6</w:t>
      </w:r>
      <w:r>
        <w:rPr>
          <w:rFonts w:ascii="宋体"/>
          <w:color w:val="auto"/>
          <w:highlight w:val="none"/>
        </w:rPr>
        <w:t>日</w:t>
      </w:r>
      <w:r>
        <w:rPr>
          <w:rFonts w:hint="eastAsia" w:ascii="宋体"/>
          <w:color w:val="auto"/>
          <w:highlight w:val="none"/>
        </w:rPr>
        <w:t>变更</w:t>
      </w:r>
      <w:r>
        <w:rPr>
          <w:rFonts w:ascii="宋体"/>
          <w:color w:val="auto"/>
          <w:highlight w:val="none"/>
        </w:rPr>
        <w:t>了《成品油零售经营批准证书》，证书编号：</w:t>
      </w:r>
      <w:r>
        <w:rPr>
          <w:rFonts w:hint="eastAsia" w:ascii="宋体"/>
          <w:color w:val="auto"/>
          <w:highlight w:val="none"/>
        </w:rPr>
        <w:t>鲁油零售证书第3709053032号</w:t>
      </w:r>
      <w:r>
        <w:rPr>
          <w:rFonts w:ascii="宋体"/>
          <w:color w:val="auto"/>
          <w:highlight w:val="none"/>
        </w:rPr>
        <w:t>，有效期20</w:t>
      </w:r>
      <w:r>
        <w:rPr>
          <w:rFonts w:hint="eastAsia" w:ascii="宋体"/>
          <w:color w:val="auto"/>
          <w:highlight w:val="none"/>
          <w:lang w:val="en-US" w:eastAsia="zh-CN"/>
        </w:rPr>
        <w:t>23</w:t>
      </w:r>
      <w:r>
        <w:rPr>
          <w:rFonts w:ascii="宋体"/>
          <w:color w:val="auto"/>
          <w:highlight w:val="none"/>
        </w:rPr>
        <w:t>年</w:t>
      </w:r>
      <w:r>
        <w:rPr>
          <w:rFonts w:hint="eastAsia" w:ascii="宋体"/>
          <w:color w:val="auto"/>
          <w:highlight w:val="none"/>
          <w:lang w:val="en-US" w:eastAsia="zh-CN"/>
        </w:rPr>
        <w:t>09</w:t>
      </w:r>
      <w:r>
        <w:rPr>
          <w:rFonts w:ascii="宋体"/>
          <w:color w:val="auto"/>
          <w:highlight w:val="none"/>
        </w:rPr>
        <w:t>月</w:t>
      </w:r>
      <w:r>
        <w:rPr>
          <w:rFonts w:hint="eastAsia" w:ascii="宋体"/>
          <w:color w:val="auto"/>
          <w:highlight w:val="none"/>
          <w:lang w:val="en-US" w:eastAsia="zh-CN"/>
        </w:rPr>
        <w:t>26</w:t>
      </w:r>
      <w:r>
        <w:rPr>
          <w:rFonts w:ascii="宋体"/>
          <w:color w:val="auto"/>
          <w:highlight w:val="none"/>
        </w:rPr>
        <w:t>日至202</w:t>
      </w:r>
      <w:r>
        <w:rPr>
          <w:rFonts w:hint="eastAsia" w:ascii="宋体"/>
          <w:color w:val="auto"/>
          <w:highlight w:val="none"/>
          <w:lang w:val="en-US" w:eastAsia="zh-CN"/>
        </w:rPr>
        <w:t>8</w:t>
      </w:r>
      <w:r>
        <w:rPr>
          <w:rFonts w:ascii="宋体"/>
          <w:color w:val="auto"/>
          <w:highlight w:val="none"/>
        </w:rPr>
        <w:t>年</w:t>
      </w:r>
      <w:r>
        <w:rPr>
          <w:rFonts w:hint="eastAsia" w:ascii="宋体"/>
          <w:color w:val="auto"/>
          <w:highlight w:val="none"/>
          <w:lang w:val="en-US" w:eastAsia="zh-CN"/>
        </w:rPr>
        <w:t>09</w:t>
      </w:r>
      <w:r>
        <w:rPr>
          <w:rFonts w:ascii="宋体"/>
          <w:color w:val="auto"/>
          <w:highlight w:val="none"/>
        </w:rPr>
        <w:t>月</w:t>
      </w:r>
      <w:r>
        <w:rPr>
          <w:rFonts w:hint="eastAsia" w:ascii="宋体"/>
          <w:color w:val="auto"/>
          <w:highlight w:val="none"/>
          <w:lang w:val="en-US" w:eastAsia="zh-CN"/>
        </w:rPr>
        <w:t>26</w:t>
      </w:r>
      <w:r>
        <w:rPr>
          <w:rFonts w:ascii="宋体"/>
          <w:color w:val="auto"/>
          <w:highlight w:val="none"/>
        </w:rPr>
        <w:t>日</w:t>
      </w:r>
      <w:r>
        <w:rPr>
          <w:rFonts w:hint="eastAsia" w:ascii="宋体"/>
          <w:color w:val="auto"/>
          <w:highlight w:val="none"/>
        </w:rPr>
        <w:t>。证书见附件</w:t>
      </w:r>
      <w:r>
        <w:rPr>
          <w:rFonts w:ascii="宋体"/>
          <w:color w:val="auto"/>
          <w:highlight w:val="none"/>
        </w:rPr>
        <w:t>。</w:t>
      </w:r>
    </w:p>
    <w:p w14:paraId="6717736C">
      <w:pPr>
        <w:pStyle w:val="17"/>
        <w:widowControl w:val="0"/>
        <w:spacing w:line="360" w:lineRule="auto"/>
        <w:ind w:firstLine="560"/>
        <w:rPr>
          <w:rFonts w:hint="eastAsia" w:ascii="宋体"/>
          <w:color w:val="auto"/>
          <w:highlight w:val="none"/>
        </w:rPr>
      </w:pPr>
      <w:bookmarkStart w:id="14" w:name="_Hlk508440011"/>
      <w:r>
        <w:rPr>
          <w:rFonts w:hint="eastAsia" w:ascii="宋体"/>
          <w:color w:val="auto"/>
          <w:highlight w:val="none"/>
        </w:rPr>
        <w:t>2003年10月16日东平县公安消防大队</w:t>
      </w:r>
      <w:r>
        <w:rPr>
          <w:rFonts w:ascii="宋体"/>
          <w:color w:val="auto"/>
          <w:highlight w:val="none"/>
        </w:rPr>
        <w:t>出具了</w:t>
      </w:r>
      <w:r>
        <w:rPr>
          <w:rFonts w:hint="eastAsia" w:ascii="宋体"/>
          <w:color w:val="auto"/>
          <w:highlight w:val="none"/>
        </w:rPr>
        <w:t>《建筑工程消防验收意见书》，编号为东公消验</w:t>
      </w:r>
      <w:r>
        <w:rPr>
          <w:rFonts w:hint="eastAsia" w:ascii="宋体"/>
          <w:color w:val="auto"/>
          <w:highlight w:val="none"/>
          <w:lang w:eastAsia="zh-CN"/>
        </w:rPr>
        <w:t>[</w:t>
      </w:r>
      <w:r>
        <w:rPr>
          <w:rFonts w:hint="eastAsia" w:ascii="宋体"/>
          <w:color w:val="auto"/>
          <w:highlight w:val="none"/>
        </w:rPr>
        <w:t>2003</w:t>
      </w:r>
      <w:r>
        <w:rPr>
          <w:rFonts w:hint="eastAsia" w:ascii="宋体"/>
          <w:color w:val="auto"/>
          <w:highlight w:val="none"/>
          <w:lang w:eastAsia="zh-CN"/>
        </w:rPr>
        <w:t>]</w:t>
      </w:r>
      <w:r>
        <w:rPr>
          <w:rFonts w:hint="eastAsia" w:ascii="宋体"/>
          <w:color w:val="auto"/>
          <w:highlight w:val="none"/>
        </w:rPr>
        <w:t>第031号，认为基本合格，准许投入使用。详见附件。</w:t>
      </w:r>
    </w:p>
    <w:p w14:paraId="70978367">
      <w:pPr>
        <w:pStyle w:val="17"/>
        <w:widowControl w:val="0"/>
        <w:spacing w:line="360" w:lineRule="auto"/>
        <w:ind w:firstLine="560"/>
        <w:rPr>
          <w:rFonts w:ascii="宋体"/>
          <w:color w:val="auto"/>
          <w:highlight w:val="none"/>
        </w:rPr>
      </w:pPr>
      <w:r>
        <w:rPr>
          <w:rFonts w:hint="eastAsia" w:ascii="宋体"/>
          <w:color w:val="auto"/>
          <w:highlight w:val="none"/>
        </w:rPr>
        <w:t>该站编制了生产安全事故应急预案，于202</w:t>
      </w:r>
      <w:r>
        <w:rPr>
          <w:rFonts w:hint="eastAsia" w:ascii="宋体"/>
          <w:color w:val="auto"/>
          <w:highlight w:val="none"/>
          <w:lang w:val="en-US" w:eastAsia="zh-CN"/>
        </w:rPr>
        <w:t>6</w:t>
      </w:r>
      <w:r>
        <w:rPr>
          <w:rFonts w:hint="eastAsia" w:ascii="宋体"/>
          <w:color w:val="auto"/>
          <w:highlight w:val="none"/>
        </w:rPr>
        <w:t>年0</w:t>
      </w:r>
      <w:r>
        <w:rPr>
          <w:rFonts w:hint="eastAsia" w:ascii="宋体"/>
          <w:color w:val="auto"/>
          <w:highlight w:val="none"/>
          <w:lang w:val="en-US" w:eastAsia="zh-CN"/>
        </w:rPr>
        <w:t>6</w:t>
      </w:r>
      <w:r>
        <w:rPr>
          <w:rFonts w:hint="eastAsia" w:ascii="宋体"/>
          <w:color w:val="auto"/>
          <w:highlight w:val="none"/>
        </w:rPr>
        <w:t>月</w:t>
      </w:r>
      <w:r>
        <w:rPr>
          <w:rFonts w:hint="eastAsia" w:ascii="宋体"/>
          <w:color w:val="auto"/>
          <w:highlight w:val="none"/>
          <w:lang w:val="en-US" w:eastAsia="zh-CN"/>
        </w:rPr>
        <w:t>09</w:t>
      </w:r>
      <w:r>
        <w:rPr>
          <w:rFonts w:hint="eastAsia" w:ascii="宋体"/>
          <w:color w:val="auto"/>
          <w:highlight w:val="none"/>
        </w:rPr>
        <w:t>日在东平县应急管理局进行了备案，备案编号为：370923-202</w:t>
      </w:r>
      <w:r>
        <w:rPr>
          <w:rFonts w:hint="eastAsia" w:ascii="宋体"/>
          <w:color w:val="auto"/>
          <w:highlight w:val="none"/>
          <w:lang w:val="en-US" w:eastAsia="zh-CN"/>
        </w:rPr>
        <w:t>6</w:t>
      </w:r>
      <w:r>
        <w:rPr>
          <w:rFonts w:hint="eastAsia" w:ascii="宋体"/>
          <w:color w:val="auto"/>
          <w:highlight w:val="none"/>
        </w:rPr>
        <w:t>-002</w:t>
      </w:r>
      <w:r>
        <w:rPr>
          <w:rFonts w:hint="eastAsia" w:ascii="宋体"/>
          <w:color w:val="auto"/>
          <w:highlight w:val="none"/>
          <w:lang w:val="en-US" w:eastAsia="zh-CN"/>
        </w:rPr>
        <w:t>0</w:t>
      </w:r>
      <w:r>
        <w:rPr>
          <w:rFonts w:hint="eastAsia" w:ascii="宋体"/>
          <w:color w:val="auto"/>
          <w:highlight w:val="none"/>
        </w:rPr>
        <w:t>。详见附件。</w:t>
      </w:r>
    </w:p>
    <w:bookmarkEnd w:id="14"/>
    <w:p w14:paraId="3967F36D">
      <w:pPr>
        <w:pStyle w:val="17"/>
        <w:widowControl w:val="0"/>
        <w:spacing w:line="360" w:lineRule="auto"/>
        <w:ind w:firstLine="560"/>
        <w:rPr>
          <w:rFonts w:hint="eastAsia" w:ascii="宋体"/>
          <w:color w:val="auto"/>
          <w:highlight w:val="none"/>
        </w:rPr>
      </w:pPr>
      <w:r>
        <w:rPr>
          <w:rFonts w:hint="eastAsia" w:ascii="宋体"/>
          <w:color w:val="auto"/>
          <w:highlight w:val="none"/>
        </w:rPr>
        <w:t>山东天科防雷工程有限公司对该站进行了相关防雷设施的检测，出具了合格的《防雷装置检测报告》，报告编号：</w:t>
      </w:r>
      <w:r>
        <w:rPr>
          <w:rFonts w:hint="eastAsia" w:ascii="宋体"/>
          <w:color w:val="auto"/>
          <w:highlight w:val="none"/>
          <w:lang w:eastAsia="zh-CN"/>
        </w:rPr>
        <w:t>（</w:t>
      </w:r>
      <w:r>
        <w:rPr>
          <w:rFonts w:hint="eastAsia" w:ascii="宋体"/>
          <w:color w:val="auto"/>
          <w:highlight w:val="none"/>
          <w:lang w:val="en-US" w:eastAsia="zh-CN"/>
        </w:rPr>
        <w:t>1122016001</w:t>
      </w:r>
      <w:r>
        <w:rPr>
          <w:rFonts w:hint="eastAsia" w:ascii="宋体"/>
          <w:color w:val="auto"/>
          <w:highlight w:val="none"/>
          <w:lang w:eastAsia="zh-CN"/>
        </w:rPr>
        <w:t>）[</w:t>
      </w:r>
      <w:r>
        <w:rPr>
          <w:rFonts w:hint="eastAsia" w:ascii="宋体"/>
          <w:color w:val="auto"/>
          <w:highlight w:val="none"/>
          <w:lang w:val="en-US" w:eastAsia="zh-CN"/>
        </w:rPr>
        <w:t>2026</w:t>
      </w:r>
      <w:r>
        <w:rPr>
          <w:rFonts w:hint="eastAsia" w:ascii="宋体"/>
          <w:color w:val="auto"/>
          <w:highlight w:val="none"/>
          <w:lang w:eastAsia="zh-CN"/>
        </w:rPr>
        <w:t>]</w:t>
      </w:r>
      <w:r>
        <w:rPr>
          <w:rFonts w:hint="eastAsia" w:ascii="宋体"/>
          <w:color w:val="auto"/>
          <w:highlight w:val="none"/>
          <w:lang w:val="en-US" w:eastAsia="zh-CN"/>
        </w:rPr>
        <w:t>D-TADP0008</w:t>
      </w:r>
      <w:r>
        <w:rPr>
          <w:rFonts w:hint="eastAsia" w:ascii="宋体"/>
          <w:color w:val="auto"/>
          <w:highlight w:val="none"/>
        </w:rPr>
        <w:t>，防雷类别：二类，有效期</w:t>
      </w:r>
      <w:r>
        <w:rPr>
          <w:rFonts w:hint="eastAsia" w:ascii="宋体"/>
          <w:color w:val="auto"/>
          <w:highlight w:val="none"/>
          <w:lang w:eastAsia="zh-CN"/>
        </w:rPr>
        <w:t>202</w:t>
      </w:r>
      <w:r>
        <w:rPr>
          <w:rFonts w:hint="eastAsia" w:ascii="宋体"/>
          <w:color w:val="auto"/>
          <w:highlight w:val="none"/>
          <w:lang w:val="en-US" w:eastAsia="zh-CN"/>
        </w:rPr>
        <w:t>6</w:t>
      </w:r>
      <w:r>
        <w:rPr>
          <w:rFonts w:hint="eastAsia" w:ascii="宋体"/>
          <w:color w:val="auto"/>
          <w:highlight w:val="none"/>
          <w:lang w:eastAsia="zh-CN"/>
        </w:rPr>
        <w:t>年0</w:t>
      </w:r>
      <w:r>
        <w:rPr>
          <w:rFonts w:hint="eastAsia" w:ascii="宋体"/>
          <w:color w:val="auto"/>
          <w:highlight w:val="none"/>
          <w:lang w:val="en-US" w:eastAsia="zh-CN"/>
        </w:rPr>
        <w:t>1</w:t>
      </w:r>
      <w:r>
        <w:rPr>
          <w:rFonts w:hint="eastAsia" w:ascii="宋体"/>
          <w:color w:val="auto"/>
          <w:highlight w:val="none"/>
          <w:lang w:eastAsia="zh-CN"/>
        </w:rPr>
        <w:t>月</w:t>
      </w:r>
      <w:r>
        <w:rPr>
          <w:rFonts w:hint="eastAsia" w:ascii="宋体"/>
          <w:color w:val="auto"/>
          <w:highlight w:val="none"/>
          <w:lang w:val="en-US" w:eastAsia="zh-CN"/>
        </w:rPr>
        <w:t>15</w:t>
      </w:r>
      <w:r>
        <w:rPr>
          <w:rFonts w:hint="eastAsia" w:ascii="宋体"/>
          <w:color w:val="auto"/>
          <w:highlight w:val="none"/>
        </w:rPr>
        <w:t>日至</w:t>
      </w:r>
      <w:r>
        <w:rPr>
          <w:rFonts w:hint="eastAsia" w:ascii="宋体"/>
          <w:color w:val="auto"/>
          <w:highlight w:val="none"/>
          <w:lang w:eastAsia="zh-CN"/>
        </w:rPr>
        <w:t>202</w:t>
      </w:r>
      <w:r>
        <w:rPr>
          <w:rFonts w:hint="eastAsia" w:ascii="宋体"/>
          <w:color w:val="auto"/>
          <w:highlight w:val="none"/>
          <w:lang w:val="en-US" w:eastAsia="zh-CN"/>
        </w:rPr>
        <w:t>6</w:t>
      </w:r>
      <w:r>
        <w:rPr>
          <w:rFonts w:hint="eastAsia" w:ascii="宋体"/>
          <w:color w:val="auto"/>
          <w:highlight w:val="none"/>
          <w:lang w:eastAsia="zh-CN"/>
        </w:rPr>
        <w:t>年0</w:t>
      </w:r>
      <w:r>
        <w:rPr>
          <w:rFonts w:hint="eastAsia" w:ascii="宋体"/>
          <w:color w:val="auto"/>
          <w:highlight w:val="none"/>
          <w:lang w:val="en-US" w:eastAsia="zh-CN"/>
        </w:rPr>
        <w:t>8</w:t>
      </w:r>
      <w:r>
        <w:rPr>
          <w:rFonts w:hint="eastAsia" w:ascii="宋体"/>
          <w:color w:val="auto"/>
          <w:highlight w:val="none"/>
          <w:lang w:eastAsia="zh-CN"/>
        </w:rPr>
        <w:t>月</w:t>
      </w:r>
      <w:r>
        <w:rPr>
          <w:rFonts w:hint="eastAsia" w:ascii="宋体"/>
          <w:color w:val="auto"/>
          <w:highlight w:val="none"/>
          <w:lang w:val="en-US" w:eastAsia="zh-CN"/>
        </w:rPr>
        <w:t>02</w:t>
      </w:r>
      <w:r>
        <w:rPr>
          <w:rFonts w:hint="eastAsia" w:ascii="宋体"/>
          <w:color w:val="auto"/>
          <w:highlight w:val="none"/>
          <w:lang w:eastAsia="zh-CN"/>
        </w:rPr>
        <w:t>日</w:t>
      </w:r>
      <w:r>
        <w:rPr>
          <w:rFonts w:hint="eastAsia" w:ascii="宋体"/>
          <w:color w:val="auto"/>
          <w:highlight w:val="none"/>
        </w:rPr>
        <w:t>。检测报告见附件。</w:t>
      </w:r>
    </w:p>
    <w:p w14:paraId="15BFC928">
      <w:pPr>
        <w:pStyle w:val="17"/>
        <w:widowControl w:val="0"/>
        <w:spacing w:line="360" w:lineRule="auto"/>
        <w:ind w:firstLine="560"/>
        <w:rPr>
          <w:rFonts w:hint="eastAsia" w:ascii="宋体"/>
          <w:color w:val="auto"/>
          <w:highlight w:val="none"/>
          <w:lang w:val="en-US" w:eastAsia="zh-CN"/>
        </w:rPr>
      </w:pPr>
      <w:r>
        <w:rPr>
          <w:rFonts w:hint="eastAsia" w:ascii="宋体"/>
          <w:color w:val="auto"/>
          <w:highlight w:val="none"/>
          <w:lang w:val="en-US" w:eastAsia="zh-CN"/>
        </w:rPr>
        <w:t>该站加装了1台可燃气体报警器，泰安市质量技术检验检测研究院于2026年05月15日出具了检定证书，证书编号：426001791，有效期2026年05月15日至2027年05月14日。</w:t>
      </w:r>
    </w:p>
    <w:p w14:paraId="0627A82A">
      <w:pPr>
        <w:pStyle w:val="17"/>
        <w:widowControl w:val="0"/>
        <w:spacing w:line="360" w:lineRule="auto"/>
        <w:ind w:firstLine="560"/>
        <w:rPr>
          <w:rFonts w:hint="default" w:ascii="宋体"/>
          <w:color w:val="auto"/>
          <w:highlight w:val="none"/>
          <w:lang w:val="en-US" w:eastAsia="zh-CN"/>
        </w:rPr>
      </w:pPr>
      <w:r>
        <w:rPr>
          <w:rFonts w:hint="eastAsia" w:ascii="宋体"/>
          <w:color w:val="auto"/>
          <w:highlight w:val="none"/>
          <w:lang w:val="en-US" w:eastAsia="zh-CN"/>
        </w:rPr>
        <w:t>该站在中国人寿财产保险股份有限公司投保安全生产责任保险，保险期限2025年8月5日至2026年8月4日，详见附件</w:t>
      </w:r>
    </w:p>
    <w:p w14:paraId="264A2625">
      <w:pPr>
        <w:pStyle w:val="17"/>
        <w:widowControl w:val="0"/>
        <w:spacing w:line="360" w:lineRule="auto"/>
        <w:ind w:firstLine="560"/>
        <w:rPr>
          <w:rFonts w:hint="eastAsia" w:ascii="宋体"/>
          <w:color w:val="auto"/>
          <w:highlight w:val="none"/>
        </w:rPr>
      </w:pPr>
      <w:r>
        <w:rPr>
          <w:rFonts w:hint="eastAsia" w:ascii="宋体"/>
          <w:color w:val="auto"/>
          <w:highlight w:val="none"/>
        </w:rPr>
        <w:t>该站建立健全了安全生产责任制、安全生产规章制度和安全操作规程，执行情况较好。</w:t>
      </w:r>
    </w:p>
    <w:p w14:paraId="428F7002">
      <w:pPr>
        <w:pStyle w:val="17"/>
        <w:widowControl w:val="0"/>
        <w:adjustRightInd w:val="0"/>
        <w:snapToGrid w:val="0"/>
        <w:spacing w:line="360" w:lineRule="auto"/>
        <w:ind w:firstLine="560"/>
        <w:rPr>
          <w:rFonts w:ascii="宋体"/>
        </w:rPr>
      </w:pPr>
      <w:r>
        <w:rPr>
          <w:rFonts w:hint="eastAsia" w:ascii="宋体"/>
          <w:color w:val="auto"/>
          <w:highlight w:val="none"/>
        </w:rPr>
        <w:t>该站现有员工6人，站长和安全员经过安全培训，各项安全管理制度基本健全，有生产安全事故应急预案，并定期进行应急救援演练。该加油站消防器材配备齐全，加油站配备了35kg推车式干粉灭火器1具，8kg手提式干粉灭火器</w:t>
      </w:r>
      <w:r>
        <w:rPr>
          <w:rFonts w:hint="eastAsia" w:ascii="宋体"/>
          <w:color w:val="auto"/>
          <w:highlight w:val="none"/>
          <w:lang w:val="en-US" w:eastAsia="zh-CN"/>
        </w:rPr>
        <w:t>6</w:t>
      </w:r>
      <w:r>
        <w:rPr>
          <w:rFonts w:hint="eastAsia" w:ascii="宋体"/>
          <w:color w:val="auto"/>
          <w:highlight w:val="none"/>
        </w:rPr>
        <w:t>具，</w:t>
      </w:r>
      <w:r>
        <w:rPr>
          <w:bCs/>
          <w:color w:val="auto"/>
          <w:highlight w:val="none"/>
        </w:rPr>
        <w:t>CO</w:t>
      </w:r>
      <w:r>
        <w:rPr>
          <w:bCs/>
          <w:color w:val="auto"/>
          <w:highlight w:val="none"/>
          <w:vertAlign w:val="subscript"/>
        </w:rPr>
        <w:t>2</w:t>
      </w:r>
      <w:r>
        <w:rPr>
          <w:bCs/>
          <w:color w:val="auto"/>
          <w:highlight w:val="none"/>
        </w:rPr>
        <w:t>灭火器</w:t>
      </w:r>
      <w:r>
        <w:rPr>
          <w:rFonts w:hint="eastAsia"/>
          <w:bCs/>
          <w:color w:val="auto"/>
          <w:highlight w:val="none"/>
          <w:lang w:val="en-US" w:eastAsia="zh-CN"/>
        </w:rPr>
        <w:t>2</w:t>
      </w:r>
      <w:r>
        <w:rPr>
          <w:rFonts w:hint="eastAsia"/>
          <w:bCs/>
          <w:color w:val="auto"/>
          <w:highlight w:val="none"/>
        </w:rPr>
        <w:t>具，</w:t>
      </w:r>
      <w:r>
        <w:rPr>
          <w:rFonts w:hint="eastAsia" w:ascii="宋体"/>
          <w:color w:val="auto"/>
          <w:highlight w:val="none"/>
        </w:rPr>
        <w:t>灭火毯4块，消防沙池2m</w:t>
      </w:r>
      <w:r>
        <w:rPr>
          <w:rFonts w:hint="eastAsia" w:ascii="宋体"/>
          <w:color w:val="auto"/>
          <w:highlight w:val="none"/>
          <w:vertAlign w:val="superscript"/>
        </w:rPr>
        <w:t>3</w:t>
      </w:r>
      <w:r>
        <w:rPr>
          <w:rFonts w:hint="eastAsia" w:ascii="宋体"/>
          <w:color w:val="auto"/>
          <w:highlight w:val="none"/>
        </w:rPr>
        <w:t>，消防锨4把。</w:t>
      </w:r>
    </w:p>
    <w:p w14:paraId="7180F63F">
      <w:pPr>
        <w:pStyle w:val="17"/>
        <w:widowControl w:val="0"/>
        <w:adjustRightInd w:val="0"/>
        <w:snapToGrid w:val="0"/>
        <w:spacing w:line="360" w:lineRule="auto"/>
        <w:ind w:firstLine="560"/>
        <w:rPr>
          <w:rFonts w:ascii="宋体"/>
        </w:rPr>
      </w:pPr>
      <w:r>
        <w:rPr>
          <w:rFonts w:hint="eastAsia" w:ascii="宋体"/>
        </w:rPr>
        <w:t>该加油站按功能分区布置，有油罐区、加油区、站房，布置较合理。</w:t>
      </w:r>
    </w:p>
    <w:p w14:paraId="1033DE9C">
      <w:pPr>
        <w:pStyle w:val="18"/>
        <w:spacing w:before="312" w:after="312"/>
        <w:rPr>
          <w:color w:val="auto"/>
        </w:rPr>
      </w:pPr>
      <w:r>
        <w:rPr>
          <w:rFonts w:hint="eastAsia"/>
          <w:color w:val="auto"/>
        </w:rPr>
        <w:t>第四章 评价单元划分与评价方法选择</w:t>
      </w:r>
    </w:p>
    <w:p w14:paraId="30EFAFE2">
      <w:pPr>
        <w:pStyle w:val="2"/>
        <w:spacing w:before="312" w:beforeLines="100" w:after="312" w:afterLines="100" w:line="360" w:lineRule="auto"/>
        <w:ind w:firstLine="0"/>
        <w:rPr>
          <w:color w:val="auto"/>
        </w:rPr>
      </w:pPr>
      <w:bookmarkStart w:id="15" w:name="_Toc23543"/>
      <w:bookmarkStart w:id="16" w:name="_Toc12643"/>
      <w:bookmarkStart w:id="17" w:name="_Toc15033754"/>
      <w:bookmarkStart w:id="18" w:name="_Toc272364536"/>
      <w:bookmarkStart w:id="19" w:name="_Toc198026273"/>
      <w:bookmarkStart w:id="20" w:name="_Toc7829"/>
      <w:bookmarkStart w:id="21" w:name="_Toc192907201"/>
      <w:bookmarkStart w:id="22" w:name="_Toc238007574"/>
      <w:bookmarkStart w:id="23" w:name="_Toc102634407"/>
      <w:bookmarkStart w:id="24" w:name="_Toc102634256"/>
      <w:bookmarkStart w:id="25" w:name="_Toc102633907"/>
      <w:bookmarkStart w:id="26" w:name="_Toc102633981"/>
      <w:r>
        <w:rPr>
          <w:rFonts w:hint="eastAsia"/>
          <w:color w:val="auto"/>
        </w:rPr>
        <w:t>第一节 评价单元的划分</w:t>
      </w:r>
      <w:bookmarkEnd w:id="15"/>
      <w:bookmarkEnd w:id="16"/>
      <w:bookmarkEnd w:id="17"/>
      <w:bookmarkEnd w:id="18"/>
      <w:bookmarkEnd w:id="19"/>
      <w:bookmarkEnd w:id="20"/>
      <w:bookmarkEnd w:id="21"/>
      <w:bookmarkEnd w:id="22"/>
      <w:bookmarkEnd w:id="23"/>
      <w:bookmarkEnd w:id="24"/>
      <w:bookmarkEnd w:id="25"/>
      <w:bookmarkEnd w:id="26"/>
    </w:p>
    <w:p w14:paraId="763B4731">
      <w:pPr>
        <w:pStyle w:val="17"/>
        <w:widowControl w:val="0"/>
        <w:adjustRightInd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5B2717B0">
      <w:pPr>
        <w:pStyle w:val="22"/>
        <w:widowControl w:val="0"/>
        <w:adjustRightInd w:val="0"/>
        <w:snapToGrid w:val="0"/>
        <w:spacing w:line="360" w:lineRule="auto"/>
        <w:ind w:firstLine="560"/>
        <w:jc w:val="both"/>
        <w:rPr>
          <w:color w:val="auto"/>
        </w:rPr>
      </w:pPr>
      <w:bookmarkStart w:id="27" w:name="_Toc102634257"/>
      <w:r>
        <w:rPr>
          <w:rFonts w:hint="eastAsia"/>
          <w:color w:val="auto"/>
        </w:rPr>
        <w:t>一</w:t>
      </w:r>
      <w:r>
        <w:rPr>
          <w:color w:val="auto"/>
        </w:rPr>
        <w:t>、以危险有害因素的类别为主划分评价单元</w:t>
      </w:r>
      <w:bookmarkEnd w:id="27"/>
    </w:p>
    <w:p w14:paraId="05C4A291">
      <w:pPr>
        <w:pStyle w:val="17"/>
        <w:widowControl w:val="0"/>
        <w:adjustRightInd w:val="0"/>
        <w:snapToGrid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639D502B">
      <w:pPr>
        <w:pStyle w:val="17"/>
        <w:widowControl w:val="0"/>
        <w:adjustRightInd w:val="0"/>
        <w:snapToGrid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25196401">
      <w:pPr>
        <w:pStyle w:val="22"/>
        <w:widowControl w:val="0"/>
        <w:adjustRightInd w:val="0"/>
        <w:snapToGrid w:val="0"/>
        <w:spacing w:line="360" w:lineRule="auto"/>
        <w:ind w:firstLine="560"/>
        <w:jc w:val="both"/>
        <w:rPr>
          <w:color w:val="auto"/>
        </w:rPr>
      </w:pPr>
      <w:bookmarkStart w:id="28" w:name="_Toc102634258"/>
      <w:r>
        <w:rPr>
          <w:rFonts w:hint="eastAsia"/>
          <w:color w:val="auto"/>
        </w:rPr>
        <w:t>二</w:t>
      </w:r>
      <w:r>
        <w:rPr>
          <w:color w:val="auto"/>
        </w:rPr>
        <w:t>、以物质特征划分评价单元</w:t>
      </w:r>
      <w:bookmarkEnd w:id="28"/>
    </w:p>
    <w:p w14:paraId="5A1E40CB">
      <w:pPr>
        <w:pStyle w:val="17"/>
        <w:widowControl w:val="0"/>
        <w:adjustRightInd w:val="0"/>
        <w:snapToGrid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55A8A20F">
      <w:pPr>
        <w:pStyle w:val="17"/>
        <w:widowControl w:val="0"/>
        <w:adjustRightInd w:val="0"/>
        <w:snapToGrid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415DEC05">
      <w:pPr>
        <w:pStyle w:val="17"/>
        <w:widowControl w:val="0"/>
        <w:adjustRightInd w:val="0"/>
        <w:snapToGrid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w:t>
      </w:r>
      <w:r>
        <w:rPr>
          <w:rFonts w:hint="eastAsia" w:ascii="宋体"/>
          <w:color w:val="auto"/>
        </w:rPr>
        <w:t>四</w:t>
      </w:r>
      <w:r>
        <w:rPr>
          <w:rFonts w:ascii="宋体"/>
          <w:color w:val="auto"/>
        </w:rPr>
        <w:t>个单元：</w:t>
      </w:r>
    </w:p>
    <w:p w14:paraId="4B345C19">
      <w:pPr>
        <w:pStyle w:val="17"/>
        <w:widowControl w:val="0"/>
        <w:adjustRightInd w:val="0"/>
        <w:snapToGrid w:val="0"/>
        <w:spacing w:line="360" w:lineRule="auto"/>
        <w:ind w:firstLine="560"/>
        <w:rPr>
          <w:rFonts w:ascii="宋体"/>
          <w:color w:val="auto"/>
        </w:rPr>
      </w:pPr>
      <w:r>
        <w:rPr>
          <w:rFonts w:ascii="宋体"/>
          <w:color w:val="auto"/>
        </w:rPr>
        <w:t>1、安全管理；</w:t>
      </w:r>
    </w:p>
    <w:p w14:paraId="32BE1495">
      <w:pPr>
        <w:pStyle w:val="17"/>
        <w:widowControl w:val="0"/>
        <w:adjustRightInd w:val="0"/>
        <w:snapToGrid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41286861">
      <w:pPr>
        <w:pStyle w:val="17"/>
        <w:widowControl w:val="0"/>
        <w:adjustRightInd w:val="0"/>
        <w:snapToGrid w:val="0"/>
        <w:spacing w:line="360" w:lineRule="auto"/>
        <w:ind w:firstLine="560"/>
        <w:rPr>
          <w:rFonts w:ascii="宋体"/>
          <w:color w:val="auto"/>
        </w:rPr>
      </w:pPr>
      <w:r>
        <w:rPr>
          <w:rFonts w:ascii="宋体"/>
          <w:color w:val="auto"/>
        </w:rPr>
        <w:t>3、加油工艺及设施；</w:t>
      </w:r>
    </w:p>
    <w:p w14:paraId="46391952">
      <w:pPr>
        <w:pStyle w:val="17"/>
        <w:widowControl w:val="0"/>
        <w:adjustRightInd w:val="0"/>
        <w:snapToGrid w:val="0"/>
        <w:spacing w:line="360" w:lineRule="auto"/>
        <w:ind w:firstLine="560"/>
        <w:rPr>
          <w:rFonts w:ascii="宋体"/>
          <w:color w:val="auto"/>
        </w:rPr>
      </w:pPr>
      <w:r>
        <w:rPr>
          <w:rFonts w:ascii="宋体"/>
          <w:color w:val="auto"/>
        </w:rPr>
        <w:t>4、其它安全设施</w:t>
      </w:r>
    </w:p>
    <w:p w14:paraId="5DA9EF16">
      <w:pPr>
        <w:pStyle w:val="2"/>
        <w:spacing w:before="312" w:beforeLines="100" w:after="312" w:afterLines="100" w:line="360" w:lineRule="auto"/>
        <w:ind w:firstLine="0"/>
        <w:rPr>
          <w:rFonts w:hint="eastAsia"/>
          <w:color w:val="auto"/>
        </w:rPr>
      </w:pPr>
      <w:bookmarkStart w:id="29" w:name="_Toc102633908"/>
      <w:bookmarkStart w:id="30" w:name="_Toc102634259"/>
      <w:bookmarkStart w:id="31" w:name="_Toc102633982"/>
      <w:bookmarkStart w:id="32" w:name="_Toc22810"/>
      <w:bookmarkStart w:id="33" w:name="_Toc102634408"/>
    </w:p>
    <w:p w14:paraId="178D2E97">
      <w:pPr>
        <w:pStyle w:val="2"/>
        <w:spacing w:before="312" w:beforeLines="100" w:after="312" w:afterLines="100" w:line="360" w:lineRule="auto"/>
        <w:ind w:firstLine="0"/>
        <w:rPr>
          <w:color w:val="auto"/>
        </w:rPr>
      </w:pPr>
      <w:r>
        <w:rPr>
          <w:rFonts w:hint="eastAsia"/>
          <w:color w:val="auto"/>
        </w:rPr>
        <w:t>第二节 评价方法的选择</w:t>
      </w:r>
      <w:bookmarkEnd w:id="29"/>
      <w:bookmarkEnd w:id="30"/>
      <w:bookmarkEnd w:id="31"/>
      <w:bookmarkEnd w:id="32"/>
      <w:bookmarkEnd w:id="33"/>
    </w:p>
    <w:p w14:paraId="1E411B7E">
      <w:pPr>
        <w:pStyle w:val="17"/>
        <w:widowControl w:val="0"/>
        <w:adjustRightInd w:val="0"/>
        <w:snapToGrid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42C872EF">
      <w:pPr>
        <w:pStyle w:val="17"/>
        <w:widowControl w:val="0"/>
        <w:adjustRightInd w:val="0"/>
        <w:snapToGrid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EEE2394">
      <w:pPr>
        <w:pStyle w:val="17"/>
        <w:widowControl w:val="0"/>
        <w:adjustRightInd w:val="0"/>
        <w:snapToGrid w:val="0"/>
        <w:spacing w:line="360" w:lineRule="auto"/>
        <w:ind w:firstLine="560"/>
        <w:rPr>
          <w:rFonts w:ascii="宋体"/>
          <w:color w:val="auto"/>
        </w:rPr>
      </w:pPr>
      <w:r>
        <w:rPr>
          <w:rFonts w:ascii="宋体"/>
          <w:color w:val="auto"/>
        </w:rPr>
        <w:t>根据本次安全评价的特点，结合</w:t>
      </w:r>
      <w:r>
        <w:rPr>
          <w:rFonts w:hint="eastAsia" w:ascii="宋体"/>
          <w:color w:val="auto"/>
        </w:rPr>
        <w:t>泰安市岱岳区山口平安加油站</w:t>
      </w:r>
      <w:r>
        <w:rPr>
          <w:rFonts w:ascii="宋体"/>
          <w:color w:val="auto"/>
        </w:rPr>
        <w:t>的具体情况，选用安全检查表、事故树法及危险度评价法对加油站进行评价。具体应用如下表所示：</w:t>
      </w:r>
    </w:p>
    <w:p w14:paraId="30D795B2">
      <w:pPr>
        <w:pStyle w:val="19"/>
        <w:widowControl w:val="0"/>
        <w:adjustRightInd w:val="0"/>
        <w:snapToGrid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5"/>
        <w:gridCol w:w="2416"/>
        <w:gridCol w:w="2249"/>
        <w:gridCol w:w="2200"/>
        <w:gridCol w:w="1830"/>
      </w:tblGrid>
      <w:tr w14:paraId="53FBF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restart"/>
            <w:vAlign w:val="center"/>
          </w:tcPr>
          <w:p w14:paraId="59969897">
            <w:pPr>
              <w:pStyle w:val="20"/>
              <w:widowControl w:val="0"/>
              <w:adjustRightInd w:val="0"/>
              <w:snapToGrid w:val="0"/>
              <w:spacing w:line="360" w:lineRule="auto"/>
              <w:rPr>
                <w:rFonts w:ascii="宋体"/>
                <w:b/>
                <w:color w:val="auto"/>
                <w:lang w:val="en-GB"/>
              </w:rPr>
            </w:pPr>
            <w:r>
              <w:rPr>
                <w:rFonts w:ascii="宋体"/>
                <w:b/>
                <w:color w:val="auto"/>
                <w:lang w:val="en-GB"/>
              </w:rPr>
              <w:t>序号</w:t>
            </w:r>
          </w:p>
        </w:tc>
        <w:tc>
          <w:tcPr>
            <w:tcW w:w="1285" w:type="pct"/>
            <w:vMerge w:val="restart"/>
            <w:vAlign w:val="center"/>
          </w:tcPr>
          <w:p w14:paraId="0168CB46">
            <w:pPr>
              <w:pStyle w:val="20"/>
              <w:widowControl w:val="0"/>
              <w:adjustRightInd w:val="0"/>
              <w:snapToGrid w:val="0"/>
              <w:spacing w:line="360" w:lineRule="auto"/>
              <w:rPr>
                <w:rFonts w:ascii="宋体"/>
                <w:b/>
                <w:color w:val="auto"/>
              </w:rPr>
            </w:pPr>
            <w:r>
              <w:rPr>
                <w:rFonts w:ascii="宋体"/>
                <w:b/>
                <w:bCs/>
                <w:color w:val="auto"/>
                <w:lang w:val="en-GB"/>
              </w:rPr>
              <w:t>评价单元</w:t>
            </w:r>
          </w:p>
        </w:tc>
        <w:tc>
          <w:tcPr>
            <w:tcW w:w="3339" w:type="pct"/>
            <w:gridSpan w:val="3"/>
            <w:vAlign w:val="center"/>
          </w:tcPr>
          <w:p w14:paraId="2C4AFDEB">
            <w:pPr>
              <w:pStyle w:val="20"/>
              <w:widowControl w:val="0"/>
              <w:adjustRightInd w:val="0"/>
              <w:snapToGrid w:val="0"/>
              <w:spacing w:line="360" w:lineRule="auto"/>
              <w:rPr>
                <w:rFonts w:ascii="宋体"/>
                <w:b/>
                <w:color w:val="auto"/>
              </w:rPr>
            </w:pPr>
            <w:r>
              <w:rPr>
                <w:rFonts w:ascii="宋体"/>
                <w:b/>
                <w:color w:val="auto"/>
                <w:lang w:val="en-GB"/>
              </w:rPr>
              <w:t>评价方法</w:t>
            </w:r>
          </w:p>
        </w:tc>
      </w:tr>
      <w:tr w14:paraId="31037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continue"/>
            <w:vAlign w:val="center"/>
          </w:tcPr>
          <w:p w14:paraId="03509717">
            <w:pPr>
              <w:pStyle w:val="20"/>
              <w:widowControl w:val="0"/>
              <w:adjustRightInd w:val="0"/>
              <w:snapToGrid w:val="0"/>
              <w:spacing w:line="360" w:lineRule="auto"/>
              <w:rPr>
                <w:rFonts w:ascii="宋体"/>
                <w:b/>
                <w:color w:val="auto"/>
                <w:lang w:val="en-GB"/>
              </w:rPr>
            </w:pPr>
          </w:p>
        </w:tc>
        <w:tc>
          <w:tcPr>
            <w:tcW w:w="1285" w:type="pct"/>
            <w:vMerge w:val="continue"/>
            <w:vAlign w:val="center"/>
          </w:tcPr>
          <w:p w14:paraId="45C0FD29">
            <w:pPr>
              <w:pStyle w:val="20"/>
              <w:widowControl w:val="0"/>
              <w:adjustRightInd w:val="0"/>
              <w:snapToGrid w:val="0"/>
              <w:spacing w:line="360" w:lineRule="auto"/>
              <w:rPr>
                <w:rFonts w:ascii="宋体"/>
                <w:b/>
                <w:color w:val="auto"/>
              </w:rPr>
            </w:pPr>
          </w:p>
        </w:tc>
        <w:tc>
          <w:tcPr>
            <w:tcW w:w="1196" w:type="pct"/>
            <w:vAlign w:val="center"/>
          </w:tcPr>
          <w:p w14:paraId="17BCE365">
            <w:pPr>
              <w:pStyle w:val="20"/>
              <w:widowControl w:val="0"/>
              <w:adjustRightInd w:val="0"/>
              <w:snapToGrid w:val="0"/>
              <w:spacing w:line="360" w:lineRule="auto"/>
              <w:rPr>
                <w:rFonts w:ascii="宋体"/>
                <w:b/>
                <w:color w:val="auto"/>
                <w:lang w:val="en-GB"/>
              </w:rPr>
            </w:pPr>
            <w:r>
              <w:rPr>
                <w:rFonts w:ascii="宋体"/>
                <w:b/>
                <w:color w:val="auto"/>
                <w:lang w:val="en-GB"/>
              </w:rPr>
              <w:t>安全检查表</w:t>
            </w:r>
          </w:p>
        </w:tc>
        <w:tc>
          <w:tcPr>
            <w:tcW w:w="1170" w:type="pct"/>
            <w:vAlign w:val="center"/>
          </w:tcPr>
          <w:p w14:paraId="446C4779">
            <w:pPr>
              <w:pStyle w:val="20"/>
              <w:widowControl w:val="0"/>
              <w:adjustRightInd w:val="0"/>
              <w:snapToGrid w:val="0"/>
              <w:spacing w:line="360" w:lineRule="auto"/>
              <w:rPr>
                <w:rFonts w:ascii="宋体"/>
                <w:b/>
                <w:color w:val="auto"/>
                <w:lang w:val="en-GB"/>
              </w:rPr>
            </w:pPr>
            <w:r>
              <w:rPr>
                <w:rFonts w:ascii="宋体"/>
                <w:b/>
                <w:color w:val="auto"/>
                <w:lang w:val="en-GB"/>
              </w:rPr>
              <w:t>危险度评价法</w:t>
            </w:r>
          </w:p>
        </w:tc>
        <w:tc>
          <w:tcPr>
            <w:tcW w:w="972" w:type="pct"/>
            <w:vAlign w:val="center"/>
          </w:tcPr>
          <w:p w14:paraId="08FEC620">
            <w:pPr>
              <w:pStyle w:val="20"/>
              <w:widowControl w:val="0"/>
              <w:adjustRightInd w:val="0"/>
              <w:snapToGrid w:val="0"/>
              <w:spacing w:line="360" w:lineRule="auto"/>
              <w:rPr>
                <w:rFonts w:ascii="宋体"/>
                <w:b/>
                <w:color w:val="auto"/>
                <w:lang w:val="en-GB"/>
              </w:rPr>
            </w:pPr>
            <w:r>
              <w:rPr>
                <w:rFonts w:ascii="宋体"/>
                <w:b/>
                <w:color w:val="auto"/>
                <w:lang w:val="en-GB"/>
              </w:rPr>
              <w:t>事故树法</w:t>
            </w:r>
          </w:p>
        </w:tc>
      </w:tr>
      <w:tr w14:paraId="27EEAC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C5D8607">
            <w:pPr>
              <w:pStyle w:val="20"/>
              <w:widowControl w:val="0"/>
              <w:adjustRightInd w:val="0"/>
              <w:snapToGrid w:val="0"/>
              <w:spacing w:line="360" w:lineRule="auto"/>
              <w:rPr>
                <w:rFonts w:ascii="宋体"/>
                <w:color w:val="auto"/>
                <w:lang w:val="en-GB"/>
              </w:rPr>
            </w:pPr>
            <w:r>
              <w:rPr>
                <w:rFonts w:ascii="宋体"/>
                <w:color w:val="auto"/>
                <w:lang w:val="en-GB"/>
              </w:rPr>
              <w:t>1</w:t>
            </w:r>
          </w:p>
        </w:tc>
        <w:tc>
          <w:tcPr>
            <w:tcW w:w="1285" w:type="pct"/>
            <w:vAlign w:val="center"/>
          </w:tcPr>
          <w:p w14:paraId="5AEBABC2">
            <w:pPr>
              <w:pStyle w:val="20"/>
              <w:widowControl w:val="0"/>
              <w:adjustRightInd w:val="0"/>
              <w:snapToGrid w:val="0"/>
              <w:spacing w:line="360" w:lineRule="auto"/>
              <w:rPr>
                <w:rFonts w:ascii="宋体"/>
                <w:color w:val="auto"/>
                <w:lang w:val="en-GB"/>
              </w:rPr>
            </w:pPr>
            <w:r>
              <w:rPr>
                <w:rFonts w:ascii="宋体"/>
                <w:color w:val="auto"/>
                <w:lang w:val="en-GB"/>
              </w:rPr>
              <w:t>安全管理单元</w:t>
            </w:r>
          </w:p>
        </w:tc>
        <w:tc>
          <w:tcPr>
            <w:tcW w:w="1196" w:type="pct"/>
            <w:vAlign w:val="center"/>
          </w:tcPr>
          <w:p w14:paraId="1E291D00">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2A4A5594">
            <w:pPr>
              <w:pStyle w:val="20"/>
              <w:widowControl w:val="0"/>
              <w:adjustRightInd w:val="0"/>
              <w:snapToGrid w:val="0"/>
              <w:spacing w:line="360" w:lineRule="auto"/>
              <w:rPr>
                <w:rFonts w:ascii="宋体"/>
                <w:color w:val="auto"/>
              </w:rPr>
            </w:pPr>
          </w:p>
        </w:tc>
        <w:tc>
          <w:tcPr>
            <w:tcW w:w="972" w:type="pct"/>
            <w:vAlign w:val="center"/>
          </w:tcPr>
          <w:p w14:paraId="00C1DAAC">
            <w:pPr>
              <w:pStyle w:val="20"/>
              <w:widowControl w:val="0"/>
              <w:adjustRightInd w:val="0"/>
              <w:snapToGrid w:val="0"/>
              <w:spacing w:line="360" w:lineRule="auto"/>
              <w:rPr>
                <w:rFonts w:ascii="宋体"/>
                <w:color w:val="auto"/>
              </w:rPr>
            </w:pPr>
          </w:p>
        </w:tc>
      </w:tr>
      <w:tr w14:paraId="76973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0A4AADEA">
            <w:pPr>
              <w:pStyle w:val="20"/>
              <w:widowControl w:val="0"/>
              <w:adjustRightInd w:val="0"/>
              <w:snapToGrid w:val="0"/>
              <w:spacing w:line="360" w:lineRule="auto"/>
              <w:rPr>
                <w:rFonts w:ascii="宋体"/>
                <w:color w:val="auto"/>
                <w:lang w:val="en-GB"/>
              </w:rPr>
            </w:pPr>
            <w:r>
              <w:rPr>
                <w:rFonts w:ascii="宋体"/>
                <w:color w:val="auto"/>
                <w:lang w:val="en-GB"/>
              </w:rPr>
              <w:t>2</w:t>
            </w:r>
          </w:p>
        </w:tc>
        <w:tc>
          <w:tcPr>
            <w:tcW w:w="1285" w:type="pct"/>
            <w:vAlign w:val="center"/>
          </w:tcPr>
          <w:p w14:paraId="6DFEA469">
            <w:pPr>
              <w:pStyle w:val="20"/>
              <w:widowControl w:val="0"/>
              <w:adjustRightInd w:val="0"/>
              <w:snapToGrid w:val="0"/>
              <w:spacing w:line="360" w:lineRule="auto"/>
              <w:rPr>
                <w:rFonts w:ascii="宋体"/>
                <w:color w:val="auto"/>
                <w:lang w:val="en-GB"/>
              </w:rPr>
            </w:pPr>
            <w:r>
              <w:rPr>
                <w:rFonts w:ascii="宋体"/>
                <w:color w:val="auto"/>
                <w:lang w:val="en-GB"/>
              </w:rPr>
              <w:t>站址选择及总平面布置</w:t>
            </w:r>
          </w:p>
        </w:tc>
        <w:tc>
          <w:tcPr>
            <w:tcW w:w="1196" w:type="pct"/>
            <w:vAlign w:val="center"/>
          </w:tcPr>
          <w:p w14:paraId="5CF653C1">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70F8023B">
            <w:pPr>
              <w:pStyle w:val="20"/>
              <w:widowControl w:val="0"/>
              <w:adjustRightInd w:val="0"/>
              <w:snapToGrid w:val="0"/>
              <w:spacing w:line="360" w:lineRule="auto"/>
              <w:rPr>
                <w:rFonts w:ascii="宋体"/>
                <w:color w:val="auto"/>
              </w:rPr>
            </w:pPr>
          </w:p>
        </w:tc>
        <w:tc>
          <w:tcPr>
            <w:tcW w:w="972" w:type="pct"/>
            <w:vAlign w:val="center"/>
          </w:tcPr>
          <w:p w14:paraId="757A7995">
            <w:pPr>
              <w:pStyle w:val="20"/>
              <w:widowControl w:val="0"/>
              <w:adjustRightInd w:val="0"/>
              <w:snapToGrid w:val="0"/>
              <w:spacing w:line="360" w:lineRule="auto"/>
              <w:rPr>
                <w:rFonts w:ascii="宋体"/>
                <w:color w:val="auto"/>
              </w:rPr>
            </w:pPr>
          </w:p>
        </w:tc>
      </w:tr>
      <w:tr w14:paraId="62F83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21EE35C5">
            <w:pPr>
              <w:pStyle w:val="20"/>
              <w:widowControl w:val="0"/>
              <w:adjustRightInd w:val="0"/>
              <w:snapToGrid w:val="0"/>
              <w:spacing w:line="360" w:lineRule="auto"/>
              <w:rPr>
                <w:rFonts w:ascii="宋体"/>
                <w:color w:val="auto"/>
                <w:lang w:val="en-GB"/>
              </w:rPr>
            </w:pPr>
            <w:r>
              <w:rPr>
                <w:rFonts w:ascii="宋体"/>
                <w:color w:val="auto"/>
                <w:lang w:val="en-GB"/>
              </w:rPr>
              <w:t>3</w:t>
            </w:r>
          </w:p>
        </w:tc>
        <w:tc>
          <w:tcPr>
            <w:tcW w:w="1285" w:type="pct"/>
            <w:vAlign w:val="center"/>
          </w:tcPr>
          <w:p w14:paraId="4A918E6C">
            <w:pPr>
              <w:pStyle w:val="20"/>
              <w:widowControl w:val="0"/>
              <w:adjustRightInd w:val="0"/>
              <w:snapToGrid w:val="0"/>
              <w:spacing w:line="360" w:lineRule="auto"/>
              <w:rPr>
                <w:rFonts w:ascii="宋体"/>
                <w:color w:val="auto"/>
                <w:lang w:val="en-GB"/>
              </w:rPr>
            </w:pPr>
            <w:r>
              <w:rPr>
                <w:rFonts w:ascii="宋体"/>
                <w:color w:val="auto"/>
                <w:lang w:val="en-GB"/>
              </w:rPr>
              <w:t>加油工艺及设施</w:t>
            </w:r>
          </w:p>
        </w:tc>
        <w:tc>
          <w:tcPr>
            <w:tcW w:w="1196" w:type="pct"/>
            <w:vAlign w:val="center"/>
          </w:tcPr>
          <w:p w14:paraId="4D11A67E">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92D00C6">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972" w:type="pct"/>
            <w:vAlign w:val="center"/>
          </w:tcPr>
          <w:p w14:paraId="0E836CF9">
            <w:pPr>
              <w:pStyle w:val="20"/>
              <w:widowControl w:val="0"/>
              <w:adjustRightInd w:val="0"/>
              <w:snapToGrid w:val="0"/>
              <w:spacing w:line="360" w:lineRule="auto"/>
              <w:rPr>
                <w:rFonts w:ascii="宋体"/>
                <w:color w:val="auto"/>
              </w:rPr>
            </w:pPr>
            <w:r>
              <w:rPr>
                <w:rFonts w:hint="eastAsia" w:ascii="宋体" w:hAnsi="宋体" w:cs="宋体"/>
                <w:color w:val="auto"/>
              </w:rPr>
              <w:t>★</w:t>
            </w:r>
          </w:p>
        </w:tc>
      </w:tr>
      <w:tr w14:paraId="033D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6CB1BBD">
            <w:pPr>
              <w:pStyle w:val="20"/>
              <w:widowControl w:val="0"/>
              <w:adjustRightInd w:val="0"/>
              <w:snapToGrid w:val="0"/>
              <w:spacing w:line="360" w:lineRule="auto"/>
              <w:rPr>
                <w:rFonts w:ascii="宋体"/>
                <w:color w:val="auto"/>
                <w:lang w:val="en-GB"/>
              </w:rPr>
            </w:pPr>
            <w:r>
              <w:rPr>
                <w:rFonts w:ascii="宋体"/>
                <w:color w:val="auto"/>
                <w:lang w:val="en-GB"/>
              </w:rPr>
              <w:t>4</w:t>
            </w:r>
          </w:p>
        </w:tc>
        <w:tc>
          <w:tcPr>
            <w:tcW w:w="1285" w:type="pct"/>
            <w:vAlign w:val="center"/>
          </w:tcPr>
          <w:p w14:paraId="18F40D56">
            <w:pPr>
              <w:pStyle w:val="20"/>
              <w:widowControl w:val="0"/>
              <w:adjustRightInd w:val="0"/>
              <w:snapToGrid w:val="0"/>
              <w:spacing w:line="360" w:lineRule="auto"/>
              <w:rPr>
                <w:rFonts w:ascii="宋体"/>
                <w:color w:val="auto"/>
                <w:lang w:val="en-GB"/>
              </w:rPr>
            </w:pPr>
            <w:r>
              <w:rPr>
                <w:rFonts w:ascii="宋体"/>
                <w:color w:val="auto"/>
                <w:lang w:val="en-GB"/>
              </w:rPr>
              <w:t>其它安全设施</w:t>
            </w:r>
          </w:p>
        </w:tc>
        <w:tc>
          <w:tcPr>
            <w:tcW w:w="1196" w:type="pct"/>
            <w:vAlign w:val="center"/>
          </w:tcPr>
          <w:p w14:paraId="65B05064">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808F65A">
            <w:pPr>
              <w:pStyle w:val="20"/>
              <w:widowControl w:val="0"/>
              <w:adjustRightInd w:val="0"/>
              <w:snapToGrid w:val="0"/>
              <w:spacing w:line="360" w:lineRule="auto"/>
              <w:rPr>
                <w:rFonts w:ascii="宋体"/>
                <w:color w:val="auto"/>
              </w:rPr>
            </w:pPr>
          </w:p>
        </w:tc>
        <w:tc>
          <w:tcPr>
            <w:tcW w:w="972" w:type="pct"/>
            <w:vAlign w:val="center"/>
          </w:tcPr>
          <w:p w14:paraId="4ADFB55C">
            <w:pPr>
              <w:pStyle w:val="20"/>
              <w:widowControl w:val="0"/>
              <w:adjustRightInd w:val="0"/>
              <w:snapToGrid w:val="0"/>
              <w:spacing w:line="360" w:lineRule="auto"/>
              <w:rPr>
                <w:rFonts w:ascii="宋体"/>
                <w:color w:val="auto"/>
              </w:rPr>
            </w:pPr>
          </w:p>
        </w:tc>
      </w:tr>
    </w:tbl>
    <w:p w14:paraId="63FFFE3C">
      <w:pPr>
        <w:pStyle w:val="17"/>
        <w:widowControl w:val="0"/>
        <w:spacing w:line="360" w:lineRule="auto"/>
        <w:ind w:firstLine="420"/>
        <w:rPr>
          <w:rFonts w:ascii="宋体"/>
          <w:color w:val="auto"/>
        </w:rPr>
      </w:pPr>
      <w:r>
        <w:rPr>
          <w:rFonts w:ascii="黑体" w:hAnsi="黑体" w:eastAsia="黑体"/>
          <w:color w:val="auto"/>
          <w:sz w:val="21"/>
          <w:szCs w:val="21"/>
          <w:u w:color="000000"/>
        </w:rPr>
        <w:t>注：表中“★”表示采用的评价方法。</w:t>
      </w:r>
    </w:p>
    <w:p w14:paraId="6EC93C82">
      <w:pPr>
        <w:pStyle w:val="21"/>
        <w:widowControl w:val="0"/>
        <w:snapToGrid w:val="0"/>
        <w:spacing w:line="360" w:lineRule="auto"/>
        <w:ind w:firstLine="872" w:firstLineChars="400"/>
        <w:rPr>
          <w:color w:val="auto"/>
        </w:rPr>
      </w:pPr>
    </w:p>
    <w:p w14:paraId="69B41B66">
      <w:pPr>
        <w:pStyle w:val="18"/>
        <w:widowControl w:val="0"/>
        <w:adjustRightInd w:val="0"/>
        <w:snapToGrid w:val="0"/>
        <w:spacing w:before="468" w:beforeLines="150" w:after="156" w:afterLines="50" w:line="360" w:lineRule="auto"/>
      </w:pPr>
      <w:bookmarkStart w:id="34" w:name="_Toc15033761"/>
      <w:bookmarkStart w:id="35" w:name="_Toc16504"/>
      <w:bookmarkStart w:id="36" w:name="_Toc9894"/>
      <w:bookmarkStart w:id="37" w:name="_Toc102634276"/>
      <w:bookmarkStart w:id="38" w:name="_Toc102633914"/>
      <w:bookmarkStart w:id="39" w:name="_Toc102633988"/>
      <w:r>
        <w:t>第六章  安全对策措施及建议</w:t>
      </w:r>
      <w:bookmarkEnd w:id="34"/>
      <w:bookmarkEnd w:id="35"/>
      <w:bookmarkEnd w:id="36"/>
      <w:bookmarkEnd w:id="37"/>
      <w:bookmarkEnd w:id="38"/>
      <w:bookmarkEnd w:id="39"/>
    </w:p>
    <w:p w14:paraId="3D8C0633">
      <w:pPr>
        <w:snapToGrid w:val="0"/>
        <w:spacing w:before="120" w:after="120" w:line="560" w:lineRule="exact"/>
        <w:jc w:val="center"/>
        <w:outlineLvl w:val="1"/>
        <w:rPr>
          <w:rFonts w:ascii="Calibri" w:hAnsi="Calibri" w:eastAsia="楷体_GB2312"/>
          <w:b/>
          <w:kern w:val="0"/>
          <w:sz w:val="32"/>
          <w:szCs w:val="20"/>
        </w:rPr>
      </w:pPr>
      <w:bookmarkStart w:id="40" w:name="_Toc225046264"/>
      <w:bookmarkStart w:id="41" w:name="_Toc339456079"/>
      <w:bookmarkStart w:id="42" w:name="_Toc4961"/>
      <w:bookmarkStart w:id="43" w:name="_Toc102633989"/>
      <w:bookmarkStart w:id="44" w:name="_Toc102634277"/>
      <w:bookmarkStart w:id="45" w:name="_Toc17772"/>
      <w:bookmarkStart w:id="46" w:name="_Toc102633915"/>
      <w:bookmarkStart w:id="47" w:name="_Toc348877039"/>
      <w:bookmarkStart w:id="48" w:name="_Toc15033762"/>
      <w:bookmarkStart w:id="49" w:name="_Toc242065302"/>
      <w:r>
        <w:rPr>
          <w:rFonts w:ascii="Calibri" w:hAnsi="Calibri" w:eastAsia="楷体_GB2312"/>
          <w:b/>
          <w:kern w:val="0"/>
          <w:sz w:val="32"/>
          <w:szCs w:val="20"/>
        </w:rPr>
        <w:t xml:space="preserve">第一节 </w:t>
      </w:r>
      <w:bookmarkEnd w:id="40"/>
      <w:bookmarkEnd w:id="41"/>
      <w:r>
        <w:rPr>
          <w:rFonts w:ascii="Calibri" w:hAnsi="Calibri" w:eastAsia="楷体_GB2312"/>
          <w:b/>
          <w:kern w:val="0"/>
          <w:sz w:val="32"/>
          <w:szCs w:val="20"/>
        </w:rPr>
        <w:t>存在的问题及整改建议</w:t>
      </w:r>
      <w:bookmarkEnd w:id="42"/>
      <w:bookmarkEnd w:id="43"/>
      <w:bookmarkEnd w:id="44"/>
      <w:bookmarkEnd w:id="45"/>
      <w:bookmarkEnd w:id="46"/>
      <w:bookmarkEnd w:id="47"/>
      <w:bookmarkEnd w:id="48"/>
      <w:bookmarkEnd w:id="49"/>
    </w:p>
    <w:p w14:paraId="3FD6ACD1">
      <w:pPr>
        <w:adjustRightInd w:val="0"/>
        <w:snapToGrid w:val="0"/>
        <w:spacing w:line="360" w:lineRule="auto"/>
        <w:ind w:firstLine="560" w:firstLineChars="200"/>
        <w:rPr>
          <w:rFonts w:ascii="宋体"/>
          <w:kern w:val="0"/>
          <w:sz w:val="28"/>
          <w:szCs w:val="20"/>
        </w:rPr>
      </w:pPr>
      <w:bookmarkStart w:id="50" w:name="_Toc15033763"/>
      <w:bookmarkStart w:id="51" w:name="_Toc49590281"/>
      <w:r>
        <w:rPr>
          <w:rFonts w:ascii="宋体"/>
          <w:kern w:val="0"/>
          <w:sz w:val="28"/>
          <w:szCs w:val="20"/>
        </w:rPr>
        <w:t>通过现场检查和审查有关资料</w:t>
      </w:r>
      <w:r>
        <w:rPr>
          <w:rFonts w:hint="eastAsia" w:ascii="宋体"/>
          <w:kern w:val="0"/>
          <w:sz w:val="28"/>
          <w:szCs w:val="20"/>
        </w:rPr>
        <w:t>可以看出，该加油站存在问题如下：</w:t>
      </w:r>
    </w:p>
    <w:bookmarkEnd w:id="50"/>
    <w:bookmarkEnd w:id="51"/>
    <w:p w14:paraId="29B0A30C">
      <w:pPr>
        <w:widowControl/>
        <w:spacing w:line="360" w:lineRule="auto"/>
        <w:jc w:val="center"/>
        <w:textAlignment w:val="baseline"/>
        <w:rPr>
          <w:rFonts w:eastAsia="黑体"/>
          <w:kern w:val="0"/>
          <w:sz w:val="24"/>
          <w:szCs w:val="24"/>
          <w:u w:color="000000"/>
        </w:rPr>
      </w:pPr>
      <w:r>
        <w:rPr>
          <w:rFonts w:hint="eastAsia" w:ascii="黑体" w:hAnsi="黑体" w:eastAsia="黑体" w:cs="黑体"/>
          <w:kern w:val="0"/>
          <w:sz w:val="24"/>
          <w:szCs w:val="24"/>
          <w:u w:color="000000"/>
        </w:rPr>
        <w:t>表6.1-1</w:t>
      </w:r>
      <w:r>
        <w:rPr>
          <w:rFonts w:hint="eastAsia" w:eastAsia="黑体"/>
          <w:kern w:val="0"/>
          <w:sz w:val="24"/>
          <w:szCs w:val="24"/>
          <w:u w:color="000000"/>
        </w:rPr>
        <w:t xml:space="preserve">  现场存在问题表</w:t>
      </w:r>
    </w:p>
    <w:tbl>
      <w:tblPr>
        <w:tblStyle w:val="9"/>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4157"/>
        <w:gridCol w:w="4428"/>
      </w:tblGrid>
      <w:tr w14:paraId="55FDE1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817" w:type="dxa"/>
            <w:vAlign w:val="center"/>
          </w:tcPr>
          <w:p w14:paraId="786BC405">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序号</w:t>
            </w:r>
          </w:p>
        </w:tc>
        <w:tc>
          <w:tcPr>
            <w:tcW w:w="4157" w:type="dxa"/>
            <w:vAlign w:val="center"/>
          </w:tcPr>
          <w:p w14:paraId="594BEAA7">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企业存在的问题</w:t>
            </w:r>
          </w:p>
        </w:tc>
        <w:tc>
          <w:tcPr>
            <w:tcW w:w="4428" w:type="dxa"/>
            <w:vAlign w:val="center"/>
          </w:tcPr>
          <w:p w14:paraId="5075E5CE">
            <w:pPr>
              <w:widowControl/>
              <w:tabs>
                <w:tab w:val="left" w:pos="6120"/>
              </w:tabs>
              <w:adjustRightInd w:val="0"/>
              <w:spacing w:before="31" w:beforeLines="10" w:after="31" w:afterLines="10" w:line="320" w:lineRule="exact"/>
              <w:jc w:val="center"/>
              <w:textAlignment w:val="baseline"/>
              <w:rPr>
                <w:rFonts w:ascii="宋体" w:hAnsi="宋体"/>
                <w:b/>
                <w:bCs/>
                <w:kern w:val="0"/>
                <w:position w:val="2"/>
                <w:u w:color="000000"/>
              </w:rPr>
            </w:pPr>
            <w:r>
              <w:rPr>
                <w:rFonts w:ascii="宋体" w:hAnsi="宋体"/>
                <w:b/>
                <w:bCs/>
                <w:kern w:val="0"/>
                <w:position w:val="2"/>
                <w:u w:color="000000"/>
              </w:rPr>
              <w:t>整改建议措施</w:t>
            </w:r>
          </w:p>
        </w:tc>
      </w:tr>
      <w:tr w14:paraId="54C59F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dxa"/>
            <w:vAlign w:val="center"/>
          </w:tcPr>
          <w:p w14:paraId="07B59223">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1</w:t>
            </w:r>
          </w:p>
        </w:tc>
        <w:tc>
          <w:tcPr>
            <w:tcW w:w="4157" w:type="dxa"/>
            <w:vAlign w:val="center"/>
          </w:tcPr>
          <w:p w14:paraId="5BB4010F">
            <w:pPr>
              <w:tabs>
                <w:tab w:val="left" w:pos="698"/>
              </w:tabs>
              <w:spacing w:line="360" w:lineRule="auto"/>
              <w:jc w:val="center"/>
              <w:rPr>
                <w:rFonts w:ascii="宋体" w:hAnsi="宋体"/>
              </w:rPr>
            </w:pPr>
            <w:r>
              <w:rPr>
                <w:rFonts w:hint="eastAsia" w:ascii="宋体" w:hAnsi="宋体" w:cs="宋体"/>
                <w:bCs/>
                <w:color w:val="auto"/>
                <w:highlight w:val="none"/>
                <w:u w:val="none" w:color="000000"/>
                <w:lang w:val="en-US" w:eastAsia="zh-CN"/>
              </w:rPr>
              <w:t>发电机停用未设置停用标志</w:t>
            </w:r>
            <w:r>
              <w:rPr>
                <w:rFonts w:hint="eastAsia" w:ascii="宋体" w:hAnsi="宋体" w:cs="宋体"/>
                <w:bCs/>
                <w:color w:val="auto"/>
                <w:highlight w:val="none"/>
                <w:u w:val="none" w:color="000000"/>
              </w:rPr>
              <w:t>；</w:t>
            </w:r>
          </w:p>
        </w:tc>
        <w:tc>
          <w:tcPr>
            <w:tcW w:w="4428" w:type="dxa"/>
            <w:vAlign w:val="center"/>
          </w:tcPr>
          <w:p w14:paraId="23998D12">
            <w:pPr>
              <w:pStyle w:val="20"/>
              <w:widowControl w:val="0"/>
              <w:spacing w:line="360" w:lineRule="auto"/>
              <w:rPr>
                <w:rFonts w:ascii="宋体" w:hAnsi="宋体"/>
              </w:rPr>
            </w:pPr>
            <w:r>
              <w:rPr>
                <w:rFonts w:hint="eastAsia" w:ascii="宋体" w:hAnsi="宋体" w:cs="宋体"/>
                <w:bCs/>
                <w:color w:val="auto"/>
                <w:highlight w:val="none"/>
                <w:lang w:val="en-US" w:eastAsia="zh-CN"/>
              </w:rPr>
              <w:t>已设置发电机停用标志；</w:t>
            </w:r>
          </w:p>
        </w:tc>
      </w:tr>
      <w:tr w14:paraId="2F0843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dxa"/>
            <w:vAlign w:val="center"/>
          </w:tcPr>
          <w:p w14:paraId="3C7ACDBD">
            <w:pPr>
              <w:widowControl/>
              <w:tabs>
                <w:tab w:val="left" w:pos="6120"/>
              </w:tabs>
              <w:adjustRightInd w:val="0"/>
              <w:spacing w:before="31" w:beforeLines="10" w:after="31" w:afterLines="10" w:line="320" w:lineRule="exact"/>
              <w:jc w:val="center"/>
              <w:textAlignment w:val="baseline"/>
              <w:rPr>
                <w:rFonts w:ascii="宋体" w:hAnsi="宋体"/>
                <w:bCs/>
                <w:kern w:val="0"/>
                <w:position w:val="2"/>
                <w:u w:color="000000"/>
              </w:rPr>
            </w:pPr>
            <w:r>
              <w:rPr>
                <w:rFonts w:hint="eastAsia" w:ascii="宋体" w:hAnsi="宋体"/>
                <w:bCs/>
                <w:kern w:val="0"/>
                <w:position w:val="2"/>
                <w:u w:color="000000"/>
              </w:rPr>
              <w:t>2</w:t>
            </w:r>
          </w:p>
        </w:tc>
        <w:tc>
          <w:tcPr>
            <w:tcW w:w="4157" w:type="dxa"/>
            <w:vAlign w:val="center"/>
          </w:tcPr>
          <w:p w14:paraId="4E3398B0">
            <w:pPr>
              <w:spacing w:line="360" w:lineRule="auto"/>
              <w:jc w:val="center"/>
              <w:rPr>
                <w:rFonts w:ascii="宋体" w:hAnsi="宋体"/>
              </w:rPr>
            </w:pPr>
            <w:r>
              <w:rPr>
                <w:rFonts w:hint="eastAsia" w:ascii="宋体" w:hAnsi="宋体" w:eastAsia="宋体" w:cs="宋体"/>
                <w:bCs/>
                <w:color w:val="auto"/>
                <w:highlight w:val="none"/>
                <w:u w:val="none" w:color="000000"/>
                <w:lang w:val="en-US" w:eastAsia="zh-CN"/>
              </w:rPr>
              <w:t>液位仪、检漏仪等监测系统未配置不间断电源</w:t>
            </w:r>
            <w:r>
              <w:rPr>
                <w:rFonts w:hint="eastAsia" w:ascii="宋体" w:hAnsi="宋体" w:cs="宋体"/>
                <w:bCs/>
                <w:color w:val="auto"/>
                <w:highlight w:val="none"/>
                <w:u w:val="none" w:color="000000"/>
              </w:rPr>
              <w:t>；</w:t>
            </w:r>
          </w:p>
        </w:tc>
        <w:tc>
          <w:tcPr>
            <w:tcW w:w="4428" w:type="dxa"/>
            <w:vAlign w:val="center"/>
          </w:tcPr>
          <w:p w14:paraId="2C75674A">
            <w:pPr>
              <w:pStyle w:val="20"/>
              <w:widowControl w:val="0"/>
              <w:spacing w:line="360" w:lineRule="auto"/>
              <w:rPr>
                <w:rFonts w:ascii="宋体" w:hAnsi="宋体"/>
              </w:rPr>
            </w:pPr>
            <w:r>
              <w:rPr>
                <w:rFonts w:hint="eastAsia" w:ascii="宋体" w:hAnsi="宋体" w:cs="宋体"/>
                <w:bCs/>
                <w:color w:val="auto"/>
                <w:highlight w:val="none"/>
                <w:lang w:val="en-US" w:eastAsia="zh-CN"/>
              </w:rPr>
              <w:t>已配置1000VA的UPS不间断电源；</w:t>
            </w:r>
          </w:p>
        </w:tc>
      </w:tr>
      <w:tr w14:paraId="1F18E5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dxa"/>
            <w:vAlign w:val="center"/>
          </w:tcPr>
          <w:p w14:paraId="0BE8D82C">
            <w:pPr>
              <w:widowControl/>
              <w:tabs>
                <w:tab w:val="left" w:pos="6120"/>
              </w:tabs>
              <w:adjustRightInd w:val="0"/>
              <w:spacing w:before="31" w:beforeLines="10" w:after="31" w:afterLines="10" w:line="320" w:lineRule="exact"/>
              <w:jc w:val="center"/>
              <w:textAlignment w:val="baseline"/>
              <w:rPr>
                <w:rFonts w:hint="eastAsia" w:ascii="宋体" w:hAnsi="宋体" w:eastAsiaTheme="minorEastAsia"/>
                <w:bCs/>
                <w:kern w:val="0"/>
                <w:position w:val="2"/>
                <w:u w:color="000000"/>
                <w:lang w:val="en-US" w:eastAsia="zh-CN"/>
              </w:rPr>
            </w:pPr>
            <w:r>
              <w:rPr>
                <w:rFonts w:hint="eastAsia" w:ascii="宋体" w:hAnsi="宋体"/>
                <w:bCs/>
                <w:kern w:val="0"/>
                <w:position w:val="2"/>
                <w:u w:color="000000"/>
                <w:lang w:val="en-US" w:eastAsia="zh-CN"/>
              </w:rPr>
              <w:t>3</w:t>
            </w:r>
          </w:p>
        </w:tc>
        <w:tc>
          <w:tcPr>
            <w:tcW w:w="4157" w:type="dxa"/>
            <w:vAlign w:val="center"/>
          </w:tcPr>
          <w:p w14:paraId="69FEB325">
            <w:pPr>
              <w:spacing w:line="360" w:lineRule="auto"/>
              <w:jc w:val="center"/>
              <w:rPr>
                <w:rFonts w:hint="eastAsia" w:ascii="宋体" w:hAnsi="宋体"/>
              </w:rPr>
            </w:pPr>
            <w:r>
              <w:rPr>
                <w:rFonts w:hint="eastAsia" w:ascii="宋体" w:hAnsi="宋体" w:eastAsia="宋体" w:cs="宋体"/>
                <w:bCs/>
                <w:color w:val="auto"/>
                <w:highlight w:val="none"/>
                <w:u w:val="none" w:color="000000"/>
                <w:lang w:val="en-US" w:eastAsia="zh-CN"/>
              </w:rPr>
              <w:t>加油区旁的饮水机外壳未接地</w:t>
            </w:r>
            <w:r>
              <w:rPr>
                <w:rFonts w:hint="eastAsia" w:ascii="宋体" w:hAnsi="宋体" w:cs="宋体"/>
                <w:bCs/>
                <w:color w:val="auto"/>
                <w:highlight w:val="none"/>
                <w:u w:val="none" w:color="000000"/>
              </w:rPr>
              <w:t>；</w:t>
            </w:r>
            <w:r>
              <w:rPr>
                <w:rFonts w:hint="eastAsia" w:ascii="宋体" w:hAnsi="宋体" w:cs="宋体"/>
                <w:bCs/>
                <w:color w:val="auto"/>
                <w:highlight w:val="none"/>
                <w:u w:val="none" w:color="000000"/>
                <w:lang w:val="en-US" w:eastAsia="zh-CN"/>
              </w:rPr>
              <w:t>饮水机与加油机间距小于防火间距。</w:t>
            </w:r>
          </w:p>
        </w:tc>
        <w:tc>
          <w:tcPr>
            <w:tcW w:w="4428" w:type="dxa"/>
            <w:vAlign w:val="center"/>
          </w:tcPr>
          <w:p w14:paraId="33158A50">
            <w:pPr>
              <w:pStyle w:val="20"/>
              <w:widowControl w:val="0"/>
              <w:spacing w:line="360" w:lineRule="auto"/>
              <w:rPr>
                <w:rFonts w:hint="eastAsia" w:ascii="宋体" w:hAnsi="宋体"/>
              </w:rPr>
            </w:pPr>
            <w:r>
              <w:rPr>
                <w:rFonts w:hint="eastAsia" w:ascii="宋体" w:hAnsi="宋体" w:cs="宋体"/>
                <w:bCs/>
                <w:color w:val="auto"/>
                <w:highlight w:val="none"/>
                <w:lang w:val="en-US" w:eastAsia="zh-CN"/>
              </w:rPr>
              <w:t>已对饮水机接地，调整饮水机</w:t>
            </w:r>
            <w:r>
              <w:rPr>
                <w:rFonts w:hint="eastAsia"/>
                <w:color w:val="auto"/>
                <w:lang w:val="en-US" w:eastAsia="zh-CN"/>
              </w:rPr>
              <w:t>位置使之</w:t>
            </w:r>
            <w:r>
              <w:rPr>
                <w:rFonts w:hint="eastAsia" w:ascii="宋体" w:hAnsi="宋体" w:cs="宋体"/>
                <w:bCs/>
                <w:color w:val="auto"/>
                <w:highlight w:val="none"/>
                <w:lang w:val="en-US" w:eastAsia="zh-CN"/>
              </w:rPr>
              <w:t>与加油机的距离大于防火间距。</w:t>
            </w:r>
          </w:p>
        </w:tc>
      </w:tr>
    </w:tbl>
    <w:p w14:paraId="6B01E46D">
      <w:pPr>
        <w:tabs>
          <w:tab w:val="left" w:pos="698"/>
        </w:tabs>
        <w:ind w:firstLine="560" w:firstLineChars="200"/>
        <w:jc w:val="left"/>
        <w:rPr>
          <w:kern w:val="0"/>
          <w:sz w:val="28"/>
          <w:szCs w:val="20"/>
        </w:rPr>
        <w:sectPr>
          <w:pgSz w:w="11906" w:h="16838"/>
          <w:pgMar w:top="1418" w:right="1134" w:bottom="993" w:left="1588" w:header="850" w:footer="256" w:gutter="0"/>
          <w:cols w:space="720" w:num="1"/>
          <w:docGrid w:type="lines" w:linePitch="312" w:charSpace="0"/>
        </w:sectPr>
      </w:pPr>
      <w:r>
        <w:rPr>
          <w:rFonts w:hint="eastAsia" w:ascii="宋体"/>
          <w:kern w:val="0"/>
          <w:sz w:val="28"/>
          <w:szCs w:val="20"/>
        </w:rPr>
        <w:t>该加油站在安全管理、站址选择及总平面布置、加油工艺及设施、其它设施等方面符合有关法律、标准规范的要求。</w:t>
      </w:r>
    </w:p>
    <w:p w14:paraId="6F9A0CCC">
      <w:pPr>
        <w:jc w:val="center"/>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5721985" cy="4291330"/>
            <wp:effectExtent l="0" t="0" r="12065" b="13970"/>
            <wp:docPr id="2" name="图片 2" descr="IMG_20260605_15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605_154130"/>
                    <pic:cNvPicPr>
                      <a:picLocks noChangeAspect="1"/>
                    </pic:cNvPicPr>
                  </pic:nvPicPr>
                  <pic:blipFill>
                    <a:blip r:embed="rId4"/>
                    <a:stretch>
                      <a:fillRect/>
                    </a:stretch>
                  </pic:blipFill>
                  <pic:spPr>
                    <a:xfrm>
                      <a:off x="0" y="0"/>
                      <a:ext cx="5721985" cy="42913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0" cy="0"/>
            <wp:effectExtent l="0" t="0" r="0" b="0"/>
            <wp:docPr id="1" name="图片 1" descr="IMG_20260605_15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260605_154130"/>
                    <pic:cNvPicPr>
                      <a:picLocks noChangeAspect="1"/>
                    </pic:cNvPicPr>
                  </pic:nvPicPr>
                  <pic:blipFill>
                    <a:blip r:embed="rId5"/>
                    <a:stretch>
                      <a:fillRect/>
                    </a:stretch>
                  </pic:blipFill>
                  <pic:spPr>
                    <a:xfrm>
                      <a:off x="0" y="0"/>
                      <a:ext cx="0" cy="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21985" cy="4291330"/>
            <wp:effectExtent l="0" t="0" r="12065" b="13970"/>
            <wp:docPr id="4" name="图片 4" descr="IMG_20260605_15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605_154038"/>
                    <pic:cNvPicPr>
                      <a:picLocks noChangeAspect="1"/>
                    </pic:cNvPicPr>
                  </pic:nvPicPr>
                  <pic:blipFill>
                    <a:blip r:embed="rId6"/>
                    <a:stretch>
                      <a:fillRect/>
                    </a:stretch>
                  </pic:blipFill>
                  <pic:spPr>
                    <a:xfrm>
                      <a:off x="0" y="0"/>
                      <a:ext cx="5721985" cy="42913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60720" cy="3240405"/>
            <wp:effectExtent l="0" t="0" r="11430" b="17145"/>
            <wp:docPr id="12" name="图片 12" descr="0fb02b0357a6bd420909a12d6551d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fb02b0357a6bd420909a12d6551d541"/>
                    <pic:cNvPicPr>
                      <a:picLocks noChangeAspect="1"/>
                    </pic:cNvPicPr>
                  </pic:nvPicPr>
                  <pic:blipFill>
                    <a:blip r:embed="rId7"/>
                    <a:stretch>
                      <a:fillRect/>
                    </a:stretch>
                  </pic:blipFill>
                  <pic:spPr>
                    <a:xfrm>
                      <a:off x="0" y="0"/>
                      <a:ext cx="5760720" cy="324040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52465" cy="4312285"/>
            <wp:effectExtent l="0" t="0" r="635" b="12065"/>
            <wp:docPr id="13" name="图片 13" descr="2d7fee4626a0af6c103565b3adf33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d7fee4626a0af6c103565b3adf33a92"/>
                    <pic:cNvPicPr>
                      <a:picLocks noChangeAspect="1"/>
                    </pic:cNvPicPr>
                  </pic:nvPicPr>
                  <pic:blipFill>
                    <a:blip r:embed="rId8"/>
                    <a:stretch>
                      <a:fillRect/>
                    </a:stretch>
                  </pic:blipFill>
                  <pic:spPr>
                    <a:xfrm>
                      <a:off x="0" y="0"/>
                      <a:ext cx="5752465" cy="431228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7669530"/>
            <wp:effectExtent l="0" t="0" r="3175" b="7620"/>
            <wp:docPr id="14" name="图片 14" descr="988685fcc44b9832c05e39ead64031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88685fcc44b9832c05e39ead640312b"/>
                    <pic:cNvPicPr>
                      <a:picLocks noChangeAspect="1"/>
                    </pic:cNvPicPr>
                  </pic:nvPicPr>
                  <pic:blipFill>
                    <a:blip r:embed="rId9"/>
                    <a:stretch>
                      <a:fillRect/>
                    </a:stretch>
                  </pic:blipFill>
                  <pic:spPr>
                    <a:xfrm>
                      <a:off x="0" y="0"/>
                      <a:ext cx="5749925" cy="76695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9355" cy="8888095"/>
            <wp:effectExtent l="0" t="0" r="10795" b="8255"/>
            <wp:docPr id="15" name="图片 15" descr="dde5d561bab82eba9ec8624665bf6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de5d561bab82eba9ec8624665bf6181"/>
                    <pic:cNvPicPr>
                      <a:picLocks noChangeAspect="1"/>
                    </pic:cNvPicPr>
                  </pic:nvPicPr>
                  <pic:blipFill>
                    <a:blip r:embed="rId10"/>
                    <a:stretch>
                      <a:fillRect/>
                    </a:stretch>
                  </pic:blipFill>
                  <pic:spPr>
                    <a:xfrm>
                      <a:off x="0" y="0"/>
                      <a:ext cx="4999355" cy="888809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8276590"/>
            <wp:effectExtent l="0" t="0" r="3175" b="10160"/>
            <wp:docPr id="5" name="图片 5" descr="6fd100d6736878ccfe84e88d6b00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fd100d6736878ccfe84e88d6b001601"/>
                    <pic:cNvPicPr>
                      <a:picLocks noChangeAspect="1"/>
                    </pic:cNvPicPr>
                  </pic:nvPicPr>
                  <pic:blipFill>
                    <a:blip r:embed="rId11"/>
                    <a:stretch>
                      <a:fillRect/>
                    </a:stretch>
                  </pic:blipFill>
                  <pic:spPr>
                    <a:xfrm>
                      <a:off x="0" y="0"/>
                      <a:ext cx="5749925" cy="827659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6890385" cy="5405120"/>
            <wp:effectExtent l="0" t="0" r="5080" b="5715"/>
            <wp:docPr id="6" name="图片 6" descr="a52a055a104f512a6c305dbccbd2b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52a055a104f512a6c305dbccbd2ba10"/>
                    <pic:cNvPicPr>
                      <a:picLocks noChangeAspect="1"/>
                    </pic:cNvPicPr>
                  </pic:nvPicPr>
                  <pic:blipFill>
                    <a:blip r:embed="rId12"/>
                    <a:srcRect l="4747" b="324"/>
                    <a:stretch>
                      <a:fillRect/>
                    </a:stretch>
                  </pic:blipFill>
                  <pic:spPr>
                    <a:xfrm rot="16200000">
                      <a:off x="0" y="0"/>
                      <a:ext cx="6890385" cy="540512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5749925" cy="7669530"/>
            <wp:effectExtent l="0" t="0" r="3175" b="7620"/>
            <wp:docPr id="7" name="图片 7" descr="6cab97774375d396b98b0c6507e10b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cab97774375d396b98b0c6507e10b2f"/>
                    <pic:cNvPicPr>
                      <a:picLocks noChangeAspect="1"/>
                    </pic:cNvPicPr>
                  </pic:nvPicPr>
                  <pic:blipFill>
                    <a:blip r:embed="rId13"/>
                    <a:stretch>
                      <a:fillRect/>
                    </a:stretch>
                  </pic:blipFill>
                  <pic:spPr>
                    <a:xfrm>
                      <a:off x="0" y="0"/>
                      <a:ext cx="5749925" cy="76695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7273925" cy="5195570"/>
            <wp:effectExtent l="0" t="0" r="5080" b="3175"/>
            <wp:docPr id="8" name="图片 8" descr="9c84060bd9e75470299ab2b7610c6a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c84060bd9e75470299ab2b7610c6a3e"/>
                    <pic:cNvPicPr>
                      <a:picLocks noChangeAspect="1"/>
                    </pic:cNvPicPr>
                  </pic:nvPicPr>
                  <pic:blipFill>
                    <a:blip r:embed="rId14"/>
                    <a:srcRect l="535" t="5226"/>
                    <a:stretch>
                      <a:fillRect/>
                    </a:stretch>
                  </pic:blipFill>
                  <pic:spPr>
                    <a:xfrm rot="5400000">
                      <a:off x="0" y="0"/>
                      <a:ext cx="7273925" cy="519557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7390765" cy="4632960"/>
            <wp:effectExtent l="0" t="0" r="15240" b="635"/>
            <wp:docPr id="10" name="图片 10" descr="49b474819d2cd1ea33b91f84704d79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9b474819d2cd1ea33b91f84704d79df"/>
                    <pic:cNvPicPr>
                      <a:picLocks noChangeAspect="1"/>
                    </pic:cNvPicPr>
                  </pic:nvPicPr>
                  <pic:blipFill>
                    <a:blip r:embed="rId15"/>
                    <a:srcRect l="-519" t="8791" r="1954" b="8791"/>
                    <a:stretch>
                      <a:fillRect/>
                    </a:stretch>
                  </pic:blipFill>
                  <pic:spPr>
                    <a:xfrm rot="5400000">
                      <a:off x="0" y="0"/>
                      <a:ext cx="7390765" cy="463296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7200900" cy="4791710"/>
            <wp:effectExtent l="0" t="0" r="8890" b="0"/>
            <wp:docPr id="11" name="图片 11" descr="ebd057a443413c09cfe0c2ea3bb6c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bd057a443413c09cfe0c2ea3bb6ce56"/>
                    <pic:cNvPicPr>
                      <a:picLocks noChangeAspect="1"/>
                    </pic:cNvPicPr>
                  </pic:nvPicPr>
                  <pic:blipFill>
                    <a:blip r:embed="rId16"/>
                    <a:srcRect l="1788" t="4874" b="7952"/>
                    <a:stretch>
                      <a:fillRect/>
                    </a:stretch>
                  </pic:blipFill>
                  <pic:spPr>
                    <a:xfrm rot="5400000">
                      <a:off x="0" y="0"/>
                      <a:ext cx="7200900" cy="4791710"/>
                    </a:xfrm>
                    <a:prstGeom prst="rect">
                      <a:avLst/>
                    </a:prstGeom>
                  </pic:spPr>
                </pic:pic>
              </a:graphicData>
            </a:graphic>
          </wp:inline>
        </w:drawing>
      </w: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02A46FE"/>
    <w:rsid w:val="03CC63D7"/>
    <w:rsid w:val="04F76473"/>
    <w:rsid w:val="07A11E1A"/>
    <w:rsid w:val="09D5345C"/>
    <w:rsid w:val="0A1C5EDC"/>
    <w:rsid w:val="0A27015B"/>
    <w:rsid w:val="0A5D5908"/>
    <w:rsid w:val="0BD51C61"/>
    <w:rsid w:val="0EDC1223"/>
    <w:rsid w:val="12386C7D"/>
    <w:rsid w:val="13D12EE6"/>
    <w:rsid w:val="141A7924"/>
    <w:rsid w:val="153C4810"/>
    <w:rsid w:val="160D5A33"/>
    <w:rsid w:val="16BC1C2B"/>
    <w:rsid w:val="191173BB"/>
    <w:rsid w:val="1C4A2E55"/>
    <w:rsid w:val="1D6063FC"/>
    <w:rsid w:val="1DE92E23"/>
    <w:rsid w:val="1E1E483E"/>
    <w:rsid w:val="1F5B398D"/>
    <w:rsid w:val="1FF73CD4"/>
    <w:rsid w:val="20872B44"/>
    <w:rsid w:val="22CB7136"/>
    <w:rsid w:val="25792C29"/>
    <w:rsid w:val="284F788D"/>
    <w:rsid w:val="2A9D36CA"/>
    <w:rsid w:val="2CBC252D"/>
    <w:rsid w:val="2E5E68CC"/>
    <w:rsid w:val="2EC41433"/>
    <w:rsid w:val="2F917EEC"/>
    <w:rsid w:val="31297B3A"/>
    <w:rsid w:val="355F439E"/>
    <w:rsid w:val="35CC29B8"/>
    <w:rsid w:val="361E3E5D"/>
    <w:rsid w:val="37A6654A"/>
    <w:rsid w:val="386A7D3B"/>
    <w:rsid w:val="38B36882"/>
    <w:rsid w:val="3BB85D78"/>
    <w:rsid w:val="3C176B62"/>
    <w:rsid w:val="40741354"/>
    <w:rsid w:val="420C1409"/>
    <w:rsid w:val="43CB4C37"/>
    <w:rsid w:val="4706325F"/>
    <w:rsid w:val="47290367"/>
    <w:rsid w:val="478D3220"/>
    <w:rsid w:val="48FE4AE5"/>
    <w:rsid w:val="4CD46A11"/>
    <w:rsid w:val="4ECC7680"/>
    <w:rsid w:val="4F5D6EDB"/>
    <w:rsid w:val="4FBF0854"/>
    <w:rsid w:val="537F016A"/>
    <w:rsid w:val="563D798B"/>
    <w:rsid w:val="567C6788"/>
    <w:rsid w:val="579A241E"/>
    <w:rsid w:val="57E13190"/>
    <w:rsid w:val="58840D76"/>
    <w:rsid w:val="5C8B1D2D"/>
    <w:rsid w:val="5D511379"/>
    <w:rsid w:val="60FB542C"/>
    <w:rsid w:val="636808F8"/>
    <w:rsid w:val="64FD4259"/>
    <w:rsid w:val="69194288"/>
    <w:rsid w:val="6A640607"/>
    <w:rsid w:val="6AD40467"/>
    <w:rsid w:val="6B3179BA"/>
    <w:rsid w:val="6BF95CAB"/>
    <w:rsid w:val="6C4D48B3"/>
    <w:rsid w:val="6C6B67EA"/>
    <w:rsid w:val="6D0669CA"/>
    <w:rsid w:val="6F4A660F"/>
    <w:rsid w:val="6FDF53A7"/>
    <w:rsid w:val="717A11AE"/>
    <w:rsid w:val="72FD2CFB"/>
    <w:rsid w:val="74AE7C8C"/>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2775</Words>
  <Characters>3056</Characters>
  <Lines>0</Lines>
  <Paragraphs>0</Paragraphs>
  <TotalTime>38</TotalTime>
  <ScaleCrop>false</ScaleCrop>
  <LinksUpToDate>false</LinksUpToDate>
  <CharactersWithSpaces>3072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A</cp:lastModifiedBy>
  <dcterms:modified xsi:type="dcterms:W3CDTF">2026-07-09T00:16:32Z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158E41C4130D45F7BB2A42425FB8946B_11</vt:lpwstr>
  </property>
  <property fmtid="{D5CDD505-2E9C-101B-9397-08002B2CF9AE}" pid="4" name="KSOTemplateDocerSaveRecord">
    <vt:lpwstr>eyJoZGlkIjoiNGI4MDk5MWIxNzEyMjQzYWI0NmU0MjhjYTI0MmEyN2UiLCJ1c2VySWQiOiIxNzUzMTcxNTQ4In0=</vt:lpwstr>
  </property>
</Properties>
</file>