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9779">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2E2E7E1F">
      <w:pPr>
        <w:rPr>
          <w:rFonts w:hint="eastAsia"/>
          <w:sz w:val="21"/>
          <w:szCs w:val="21"/>
          <w:lang w:val="en-US" w:eastAsia="zh-CN"/>
        </w:rPr>
      </w:pPr>
      <w:r>
        <w:rPr>
          <w:rFonts w:hint="eastAsia"/>
          <w:sz w:val="21"/>
          <w:szCs w:val="21"/>
          <w:lang w:val="en-US" w:eastAsia="zh-CN"/>
        </w:rPr>
        <w:t>项目编号：</w:t>
      </w:r>
    </w:p>
    <w:tbl>
      <w:tblPr>
        <w:tblStyle w:val="9"/>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54"/>
        <w:gridCol w:w="2214"/>
        <w:gridCol w:w="2378"/>
        <w:gridCol w:w="2953"/>
      </w:tblGrid>
      <w:tr w14:paraId="3322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2F45E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456" w:type="dxa"/>
            <w:gridSpan w:val="3"/>
            <w:tcBorders>
              <w:tl2br w:val="nil"/>
              <w:tr2bl w:val="nil"/>
            </w:tcBorders>
            <w:shd w:val="clear" w:color="auto" w:fill="auto"/>
            <w:vAlign w:val="center"/>
          </w:tcPr>
          <w:p w14:paraId="10E1ABDC">
            <w:pPr>
              <w:autoSpaceDE w:val="0"/>
              <w:autoSpaceDN w:val="0"/>
              <w:adjustRightInd w:val="0"/>
              <w:snapToGrid w:val="0"/>
              <w:spacing w:line="240" w:lineRule="auto"/>
              <w:ind w:firstLine="0" w:firstLineChars="0"/>
              <w:jc w:val="center"/>
              <w:rPr>
                <w:rFonts w:hint="eastAsia"/>
                <w:color w:val="000000"/>
                <w:szCs w:val="21"/>
                <w:lang w:eastAsia="zh-CN"/>
              </w:rPr>
            </w:pPr>
            <w:r>
              <w:rPr>
                <w:rFonts w:hint="eastAsia"/>
                <w:color w:val="000000"/>
                <w:szCs w:val="21"/>
                <w:lang w:eastAsia="zh-CN"/>
              </w:rPr>
              <w:t>中国石油天然气股份有限公司山东泰安销售分公司新泰东都加油站</w:t>
            </w:r>
          </w:p>
          <w:p w14:paraId="5F0EE62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color w:val="000000"/>
                <w:szCs w:val="21"/>
                <w:lang w:eastAsia="zh-CN"/>
              </w:rPr>
              <w:t>经营危险化学品现状评价</w:t>
            </w:r>
          </w:p>
        </w:tc>
      </w:tr>
      <w:tr w14:paraId="1F3F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966" w:hRule="atLeast"/>
          <w:jc w:val="center"/>
        </w:trPr>
        <w:tc>
          <w:tcPr>
            <w:tcW w:w="1832" w:type="dxa"/>
            <w:tcBorders>
              <w:tl2br w:val="nil"/>
              <w:tr2bl w:val="nil"/>
            </w:tcBorders>
            <w:shd w:val="clear" w:color="auto" w:fill="auto"/>
            <w:vAlign w:val="center"/>
          </w:tcPr>
          <w:p w14:paraId="591D3CED">
            <w:pPr>
              <w:autoSpaceDE w:val="0"/>
              <w:autoSpaceDN w:val="0"/>
              <w:adjustRightInd w:val="0"/>
              <w:snapToGrid w:val="0"/>
              <w:spacing w:line="240" w:lineRule="auto"/>
              <w:ind w:firstLine="0" w:firstLineChars="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456" w:type="dxa"/>
            <w:gridSpan w:val="3"/>
            <w:tcBorders>
              <w:tl2br w:val="nil"/>
              <w:tr2bl w:val="nil"/>
            </w:tcBorders>
            <w:shd w:val="clear" w:color="auto" w:fill="auto"/>
            <w:noWrap/>
            <w:vAlign w:val="center"/>
          </w:tcPr>
          <w:p w14:paraId="2072520D">
            <w:pPr>
              <w:pStyle w:val="24"/>
              <w:adjustRightInd w:val="0"/>
              <w:snapToGrid w:val="0"/>
              <w:jc w:val="left"/>
              <w:rPr>
                <w:rFonts w:hint="eastAsia" w:ascii="宋体" w:hAnsi="宋体" w:cs="宋体" w:eastAsiaTheme="minorEastAsia"/>
                <w:b w:val="0"/>
                <w:bCs w:val="0"/>
                <w:color w:val="auto"/>
                <w:kern w:val="0"/>
                <w:sz w:val="21"/>
                <w:szCs w:val="21"/>
                <w:highlight w:val="none"/>
                <w:lang w:eastAsia="zh-CN"/>
              </w:rPr>
            </w:pPr>
            <w:r>
              <w:rPr>
                <w:rFonts w:hint="eastAsia"/>
                <w:color w:val="auto"/>
                <w:lang w:val="en-US" w:eastAsia="zh-CN"/>
              </w:rPr>
              <w:t>该加油站现有埋地双层</w:t>
            </w:r>
            <w:r>
              <w:rPr>
                <w:rFonts w:hint="eastAsia" w:asciiTheme="minorEastAsia" w:hAnsiTheme="minorEastAsia" w:eastAsiaTheme="minorEastAsia" w:cstheme="minorEastAsia"/>
                <w:color w:val="auto"/>
              </w:rPr>
              <w:t>储罐</w:t>
            </w: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rPr>
              <w:t>台：1台30m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rPr>
              <w:t>92#乙醇汽油罐、1台30m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rPr>
              <w:t>95#汽油罐、3台30m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rPr>
              <w:t>柴油罐，1台油气回收处理装置</w:t>
            </w:r>
            <w:r>
              <w:rPr>
                <w:rFonts w:hint="eastAsia"/>
                <w:color w:val="auto"/>
                <w:lang w:eastAsia="zh-CN"/>
              </w:rPr>
              <w:t>。</w:t>
            </w:r>
            <w:r>
              <w:rPr>
                <w:rFonts w:hint="eastAsia"/>
                <w:color w:val="auto"/>
                <w:lang w:val="en-US" w:eastAsia="zh-CN"/>
              </w:rPr>
              <w:t>加油站</w:t>
            </w:r>
            <w:r>
              <w:rPr>
                <w:rFonts w:hint="eastAsia" w:asciiTheme="minorEastAsia" w:hAnsiTheme="minorEastAsia" w:eastAsiaTheme="minorEastAsia" w:cstheme="minorEastAsia"/>
                <w:color w:val="auto"/>
              </w:rPr>
              <w:t>设置罩棚一处，罩棚下共设置4台双枪加油机：2</w:t>
            </w:r>
            <w:r>
              <w:rPr>
                <w:rFonts w:hint="eastAsia" w:asciiTheme="minorEastAsia" w:hAnsiTheme="minorEastAsia" w:eastAsiaTheme="minorEastAsia" w:cstheme="minorEastAsia"/>
                <w:bCs/>
                <w:color w:val="auto"/>
              </w:rPr>
              <w:t>台92#乙醇汽油/95#汽油加油机，2台柴油加油机，均为潜油泵式</w:t>
            </w:r>
            <w:r>
              <w:rPr>
                <w:rFonts w:hint="eastAsia" w:asciiTheme="minorEastAsia" w:hAnsiTheme="minorEastAsia" w:eastAsiaTheme="minorEastAsia" w:cstheme="minorEastAsia"/>
                <w:bCs/>
                <w:color w:val="auto"/>
                <w:lang w:eastAsia="zh-CN"/>
              </w:rPr>
              <w:t>。</w:t>
            </w:r>
          </w:p>
        </w:tc>
      </w:tr>
      <w:tr w14:paraId="2423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634F0C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38" w:type="dxa"/>
            <w:gridSpan w:val="2"/>
            <w:tcBorders>
              <w:tl2br w:val="nil"/>
              <w:tr2bl w:val="nil"/>
            </w:tcBorders>
            <w:shd w:val="clear" w:color="auto" w:fill="auto"/>
            <w:noWrap/>
            <w:vAlign w:val="center"/>
          </w:tcPr>
          <w:p w14:paraId="7AFCBB5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p>
        </w:tc>
        <w:tc>
          <w:tcPr>
            <w:tcW w:w="2918" w:type="dxa"/>
            <w:tcBorders>
              <w:tl2br w:val="nil"/>
              <w:tr2bl w:val="nil"/>
            </w:tcBorders>
            <w:shd w:val="clear" w:color="auto" w:fill="auto"/>
            <w:noWrap/>
            <w:vAlign w:val="center"/>
          </w:tcPr>
          <w:p w14:paraId="4459B1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0712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0029CA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38" w:type="dxa"/>
            <w:gridSpan w:val="2"/>
            <w:tcBorders>
              <w:tl2br w:val="nil"/>
              <w:tr2bl w:val="nil"/>
            </w:tcBorders>
            <w:shd w:val="clear" w:color="auto" w:fill="auto"/>
            <w:noWrap/>
            <w:vAlign w:val="center"/>
          </w:tcPr>
          <w:p w14:paraId="054FFDF5">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13B553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068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5BB9D89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项目组成员</w:t>
            </w:r>
          </w:p>
        </w:tc>
        <w:tc>
          <w:tcPr>
            <w:tcW w:w="4538" w:type="dxa"/>
            <w:gridSpan w:val="2"/>
            <w:tcBorders>
              <w:tl2br w:val="nil"/>
              <w:tr2bl w:val="nil"/>
            </w:tcBorders>
            <w:shd w:val="clear" w:color="auto" w:fill="auto"/>
            <w:noWrap/>
            <w:vAlign w:val="center"/>
          </w:tcPr>
          <w:p w14:paraId="08442A6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刘卫国</w:t>
            </w:r>
          </w:p>
        </w:tc>
        <w:tc>
          <w:tcPr>
            <w:tcW w:w="2918" w:type="dxa"/>
            <w:tcBorders>
              <w:tl2br w:val="nil"/>
              <w:tr2bl w:val="nil"/>
            </w:tcBorders>
            <w:shd w:val="clear" w:color="auto" w:fill="auto"/>
            <w:noWrap/>
            <w:vAlign w:val="center"/>
          </w:tcPr>
          <w:p w14:paraId="38A9161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51D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4BBF44E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A5C36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王静</w:t>
            </w:r>
          </w:p>
        </w:tc>
        <w:tc>
          <w:tcPr>
            <w:tcW w:w="2918" w:type="dxa"/>
            <w:tcBorders>
              <w:tl2br w:val="nil"/>
              <w:tr2bl w:val="nil"/>
            </w:tcBorders>
            <w:shd w:val="clear" w:color="auto" w:fill="auto"/>
            <w:noWrap/>
            <w:vAlign w:val="center"/>
          </w:tcPr>
          <w:p w14:paraId="252EC6F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2F8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D09BAD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1431AE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5892932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C12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7244E7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7E3286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赵云峰</w:t>
            </w:r>
          </w:p>
        </w:tc>
        <w:tc>
          <w:tcPr>
            <w:tcW w:w="2918" w:type="dxa"/>
            <w:tcBorders>
              <w:tl2br w:val="nil"/>
              <w:tr2bl w:val="nil"/>
            </w:tcBorders>
            <w:shd w:val="clear" w:color="auto" w:fill="auto"/>
            <w:noWrap/>
            <w:vAlign w:val="center"/>
          </w:tcPr>
          <w:p w14:paraId="6DD091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7B4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776A54">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38" w:type="dxa"/>
            <w:gridSpan w:val="2"/>
            <w:tcBorders>
              <w:tl2br w:val="nil"/>
              <w:tr2bl w:val="nil"/>
            </w:tcBorders>
            <w:shd w:val="clear" w:color="auto" w:fill="auto"/>
            <w:noWrap/>
            <w:vAlign w:val="center"/>
          </w:tcPr>
          <w:p w14:paraId="4C20FD2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79A2C8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33E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94305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38" w:type="dxa"/>
            <w:gridSpan w:val="2"/>
            <w:tcBorders>
              <w:tl2br w:val="nil"/>
              <w:tr2bl w:val="nil"/>
            </w:tcBorders>
            <w:shd w:val="clear" w:color="auto" w:fill="auto"/>
            <w:noWrap/>
            <w:vAlign w:val="center"/>
          </w:tcPr>
          <w:p w14:paraId="32611B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赵燕</w:t>
            </w:r>
          </w:p>
        </w:tc>
        <w:tc>
          <w:tcPr>
            <w:tcW w:w="2918" w:type="dxa"/>
            <w:tcBorders>
              <w:tl2br w:val="nil"/>
              <w:tr2bl w:val="nil"/>
            </w:tcBorders>
            <w:shd w:val="clear" w:color="auto" w:fill="auto"/>
            <w:noWrap/>
            <w:vAlign w:val="center"/>
          </w:tcPr>
          <w:p w14:paraId="5AA1439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BD6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84A69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38" w:type="dxa"/>
            <w:gridSpan w:val="2"/>
            <w:tcBorders>
              <w:tl2br w:val="nil"/>
              <w:tr2bl w:val="nil"/>
            </w:tcBorders>
            <w:shd w:val="clear" w:color="auto" w:fill="auto"/>
            <w:noWrap/>
            <w:vAlign w:val="center"/>
          </w:tcPr>
          <w:p w14:paraId="77C469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刘云红</w:t>
            </w:r>
          </w:p>
        </w:tc>
        <w:tc>
          <w:tcPr>
            <w:tcW w:w="2918" w:type="dxa"/>
            <w:tcBorders>
              <w:tl2br w:val="nil"/>
              <w:tr2bl w:val="nil"/>
            </w:tcBorders>
            <w:shd w:val="clear" w:color="auto" w:fill="auto"/>
            <w:noWrap/>
            <w:vAlign w:val="center"/>
          </w:tcPr>
          <w:p w14:paraId="6425764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65B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E51160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38" w:type="dxa"/>
            <w:gridSpan w:val="2"/>
            <w:tcBorders>
              <w:tl2br w:val="nil"/>
              <w:tr2bl w:val="nil"/>
            </w:tcBorders>
            <w:shd w:val="clear" w:color="auto" w:fill="auto"/>
            <w:noWrap/>
            <w:vAlign w:val="center"/>
          </w:tcPr>
          <w:p w14:paraId="412D6BDB">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孙虎</w:t>
            </w:r>
          </w:p>
        </w:tc>
        <w:tc>
          <w:tcPr>
            <w:tcW w:w="2918" w:type="dxa"/>
            <w:tcBorders>
              <w:tl2br w:val="nil"/>
              <w:tr2bl w:val="nil"/>
            </w:tcBorders>
            <w:shd w:val="clear" w:color="auto" w:fill="auto"/>
            <w:noWrap/>
            <w:vAlign w:val="center"/>
          </w:tcPr>
          <w:p w14:paraId="1A98D6A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DE8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0ED39F2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54D3B77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38" w:type="dxa"/>
            <w:gridSpan w:val="2"/>
            <w:tcBorders>
              <w:tl2br w:val="nil"/>
              <w:tr2bl w:val="nil"/>
            </w:tcBorders>
            <w:shd w:val="clear" w:color="auto" w:fill="auto"/>
            <w:noWrap/>
            <w:vAlign w:val="center"/>
          </w:tcPr>
          <w:p w14:paraId="285EDAC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01DE44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FBF8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25DA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06D401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66078C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590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D612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974AE2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951DB7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B8E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24AA97A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959ECE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AB2EC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3EF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373D0D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2F4CEAB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188" w:type="dxa"/>
            <w:tcBorders>
              <w:tl2br w:val="nil"/>
              <w:tr2bl w:val="nil"/>
            </w:tcBorders>
            <w:shd w:val="clear" w:color="auto" w:fill="auto"/>
            <w:noWrap/>
            <w:vAlign w:val="center"/>
          </w:tcPr>
          <w:p w14:paraId="0DA27BC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50" w:type="dxa"/>
            <w:tcBorders>
              <w:tl2br w:val="nil"/>
              <w:tr2bl w:val="nil"/>
            </w:tcBorders>
            <w:shd w:val="clear" w:color="auto" w:fill="auto"/>
            <w:noWrap/>
            <w:vAlign w:val="center"/>
          </w:tcPr>
          <w:p w14:paraId="1421A7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18" w:type="dxa"/>
            <w:tcBorders>
              <w:tl2br w:val="nil"/>
              <w:tr2bl w:val="nil"/>
            </w:tcBorders>
            <w:shd w:val="clear" w:color="auto" w:fill="auto"/>
            <w:noWrap/>
            <w:vAlign w:val="center"/>
          </w:tcPr>
          <w:p w14:paraId="1C92C45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6F3A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EE806A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7E41D2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2026.3.16</w:t>
            </w:r>
          </w:p>
        </w:tc>
        <w:tc>
          <w:tcPr>
            <w:tcW w:w="2350" w:type="dxa"/>
            <w:tcBorders>
              <w:tl2br w:val="nil"/>
              <w:tr2bl w:val="nil"/>
            </w:tcBorders>
            <w:shd w:val="clear" w:color="auto" w:fill="auto"/>
            <w:noWrap/>
            <w:vAlign w:val="center"/>
          </w:tcPr>
          <w:p w14:paraId="2EE280D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2E0A453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0AA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6F537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54ED758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2026.6.17</w:t>
            </w:r>
          </w:p>
        </w:tc>
        <w:tc>
          <w:tcPr>
            <w:tcW w:w="2350" w:type="dxa"/>
            <w:tcBorders>
              <w:tl2br w:val="nil"/>
              <w:tr2bl w:val="nil"/>
            </w:tcBorders>
            <w:shd w:val="clear" w:color="auto" w:fill="auto"/>
            <w:noWrap/>
            <w:vAlign w:val="center"/>
          </w:tcPr>
          <w:p w14:paraId="73B503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5426880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1741F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432D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6F20C69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2026.6.23</w:t>
            </w:r>
          </w:p>
        </w:tc>
        <w:tc>
          <w:tcPr>
            <w:tcW w:w="2350" w:type="dxa"/>
            <w:tcBorders>
              <w:tl2br w:val="nil"/>
              <w:tr2bl w:val="nil"/>
            </w:tcBorders>
            <w:shd w:val="clear" w:color="auto" w:fill="auto"/>
            <w:noWrap/>
            <w:vAlign w:val="center"/>
          </w:tcPr>
          <w:p w14:paraId="04E4ED3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2FBD928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4C41B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A10055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0A09B0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p>
        </w:tc>
        <w:tc>
          <w:tcPr>
            <w:tcW w:w="2350" w:type="dxa"/>
            <w:tcBorders>
              <w:tl2br w:val="nil"/>
              <w:tr2bl w:val="nil"/>
            </w:tcBorders>
            <w:shd w:val="clear" w:color="auto" w:fill="auto"/>
            <w:noWrap/>
            <w:vAlign w:val="center"/>
          </w:tcPr>
          <w:p w14:paraId="4C632E3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bidi="ar-SA"/>
              </w:rPr>
            </w:pPr>
          </w:p>
        </w:tc>
        <w:tc>
          <w:tcPr>
            <w:tcW w:w="2918" w:type="dxa"/>
            <w:tcBorders>
              <w:tl2br w:val="nil"/>
              <w:tr2bl w:val="nil"/>
            </w:tcBorders>
            <w:shd w:val="clear" w:color="auto" w:fill="auto"/>
            <w:noWrap/>
            <w:vAlign w:val="center"/>
          </w:tcPr>
          <w:p w14:paraId="69E636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bidi="ar-SA"/>
              </w:rPr>
            </w:pPr>
          </w:p>
        </w:tc>
      </w:tr>
      <w:tr w14:paraId="756B4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08E1CC7D">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安全评价报告提交时间：2026.8.10</w:t>
            </w:r>
          </w:p>
        </w:tc>
      </w:tr>
      <w:tr w14:paraId="1FFD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3D278980">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109234B9">
      <w:pPr>
        <w:pStyle w:val="18"/>
        <w:spacing w:before="312" w:after="312"/>
        <w:rPr>
          <w:color w:val="auto"/>
        </w:rPr>
      </w:pPr>
      <w:bookmarkStart w:id="0" w:name="_Toc102633969"/>
      <w:bookmarkStart w:id="1" w:name="_Toc102633895"/>
      <w:bookmarkStart w:id="2" w:name="_Toc8295"/>
      <w:bookmarkStart w:id="3" w:name="_Toc102634395"/>
      <w:bookmarkStart w:id="4" w:name="_Toc15033742"/>
      <w:bookmarkStart w:id="5" w:name="_Toc102634226"/>
      <w:r>
        <w:rPr>
          <w:rFonts w:hint="eastAsia"/>
          <w:color w:val="auto"/>
        </w:rPr>
        <w:t>第二章 加油站概况</w:t>
      </w:r>
      <w:bookmarkEnd w:id="0"/>
      <w:bookmarkEnd w:id="1"/>
      <w:bookmarkEnd w:id="2"/>
      <w:bookmarkEnd w:id="3"/>
      <w:bookmarkEnd w:id="4"/>
      <w:bookmarkEnd w:id="5"/>
    </w:p>
    <w:p w14:paraId="53FD4A9D">
      <w:pPr>
        <w:pStyle w:val="2"/>
        <w:spacing w:before="312" w:beforeLines="100" w:after="312" w:afterLines="100" w:line="360" w:lineRule="auto"/>
        <w:ind w:firstLine="0"/>
        <w:rPr>
          <w:color w:val="auto"/>
        </w:rPr>
      </w:pPr>
      <w:bookmarkStart w:id="6" w:name="_Toc208733856"/>
      <w:bookmarkStart w:id="7" w:name="_Toc102634227"/>
      <w:bookmarkStart w:id="8" w:name="_Toc13779"/>
      <w:bookmarkStart w:id="9" w:name="_Toc26504"/>
      <w:bookmarkStart w:id="10" w:name="_Toc102633896"/>
      <w:bookmarkStart w:id="11" w:name="_Toc30066"/>
      <w:bookmarkStart w:id="12" w:name="_Toc102634396"/>
      <w:bookmarkStart w:id="13" w:name="_Toc272364524"/>
      <w:bookmarkStart w:id="14" w:name="_Toc15033743"/>
      <w:bookmarkStart w:id="15" w:name="_Toc102633970"/>
      <w:r>
        <w:rPr>
          <w:rFonts w:hint="eastAsia"/>
          <w:color w:val="auto"/>
        </w:rPr>
        <w:t>第一节 加油站基本情况</w:t>
      </w:r>
      <w:bookmarkEnd w:id="6"/>
      <w:bookmarkEnd w:id="7"/>
      <w:bookmarkEnd w:id="8"/>
      <w:bookmarkEnd w:id="9"/>
      <w:bookmarkEnd w:id="10"/>
      <w:bookmarkEnd w:id="11"/>
      <w:bookmarkEnd w:id="12"/>
      <w:bookmarkEnd w:id="13"/>
      <w:bookmarkEnd w:id="14"/>
      <w:bookmarkEnd w:id="15"/>
    </w:p>
    <w:p w14:paraId="372445B9">
      <w:pPr>
        <w:adjustRightInd w:val="0"/>
        <w:snapToGrid w:val="0"/>
        <w:spacing w:line="360" w:lineRule="auto"/>
        <w:ind w:firstLine="560" w:firstLineChars="200"/>
        <w:rPr>
          <w:rFonts w:ascii="宋体" w:hAnsi="宋体" w:cs="宋体"/>
          <w:color w:val="auto"/>
          <w:sz w:val="28"/>
          <w:szCs w:val="28"/>
        </w:rPr>
      </w:pPr>
      <w:r>
        <w:rPr>
          <w:rFonts w:hint="eastAsia" w:ascii="宋体" w:hAnsi="宋体" w:cs="宋体"/>
          <w:color w:val="auto"/>
          <w:sz w:val="28"/>
          <w:szCs w:val="28"/>
        </w:rPr>
        <w:t>中国石油天然气股份有限公司山东泰安销售分公司新泰东都加油站位于</w:t>
      </w:r>
      <w:r>
        <w:rPr>
          <w:rFonts w:hint="eastAsia" w:ascii="宋体" w:hAnsi="宋体"/>
          <w:color w:val="auto"/>
          <w:sz w:val="28"/>
        </w:rPr>
        <w:t>新泰市东都镇政府东1公里处蒙馆路南侧</w:t>
      </w:r>
      <w:r>
        <w:rPr>
          <w:rFonts w:hint="eastAsia" w:ascii="宋体" w:hAnsi="宋体" w:cs="宋体"/>
          <w:color w:val="auto"/>
          <w:sz w:val="28"/>
          <w:szCs w:val="28"/>
        </w:rPr>
        <w:t>，</w:t>
      </w:r>
      <w:r>
        <w:rPr>
          <w:rFonts w:hint="eastAsia" w:ascii="宋体" w:hAnsi="宋体"/>
          <w:color w:val="auto"/>
          <w:sz w:val="28"/>
          <w:szCs w:val="28"/>
        </w:rPr>
        <w:t>加油站</w:t>
      </w:r>
      <w:r>
        <w:rPr>
          <w:rFonts w:hint="eastAsia" w:ascii="宋体" w:hAnsi="宋体" w:cs="宋体"/>
          <w:color w:val="auto"/>
          <w:sz w:val="28"/>
          <w:szCs w:val="28"/>
        </w:rPr>
        <w:t>西侧是沿街房，北侧是</w:t>
      </w:r>
      <w:r>
        <w:rPr>
          <w:rFonts w:hint="eastAsia" w:ascii="宋体" w:hAnsi="宋体" w:cs="宋体"/>
          <w:color w:val="auto"/>
          <w:sz w:val="28"/>
          <w:szCs w:val="28"/>
          <w:lang w:eastAsia="zh-CN"/>
        </w:rPr>
        <w:t>G342国道</w:t>
      </w:r>
      <w:r>
        <w:rPr>
          <w:rFonts w:hint="eastAsia" w:ascii="宋体" w:hAnsi="宋体" w:cs="宋体"/>
          <w:color w:val="auto"/>
          <w:sz w:val="28"/>
          <w:szCs w:val="28"/>
        </w:rPr>
        <w:t>、架空电力线</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杆高10m</w:t>
      </w:r>
      <w:r>
        <w:rPr>
          <w:rFonts w:hint="eastAsia" w:ascii="宋体" w:hAnsi="宋体" w:cs="宋体"/>
          <w:color w:val="auto"/>
          <w:sz w:val="28"/>
          <w:szCs w:val="28"/>
          <w:lang w:eastAsia="zh-CN"/>
        </w:rPr>
        <w:t>）</w:t>
      </w:r>
      <w:r>
        <w:rPr>
          <w:rFonts w:hint="eastAsia" w:ascii="宋体" w:hAnsi="宋体" w:cs="宋体"/>
          <w:color w:val="auto"/>
          <w:sz w:val="28"/>
          <w:szCs w:val="28"/>
        </w:rPr>
        <w:t>，东侧是向阳路、架空电力线</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杆高10m</w:t>
      </w:r>
      <w:r>
        <w:rPr>
          <w:rFonts w:hint="eastAsia" w:ascii="宋体" w:hAnsi="宋体" w:cs="宋体"/>
          <w:color w:val="auto"/>
          <w:sz w:val="28"/>
          <w:szCs w:val="28"/>
          <w:lang w:eastAsia="zh-CN"/>
        </w:rPr>
        <w:t>）</w:t>
      </w:r>
      <w:r>
        <w:rPr>
          <w:rFonts w:hint="eastAsia" w:ascii="宋体" w:hAnsi="宋体" w:cs="宋体"/>
          <w:color w:val="auto"/>
          <w:sz w:val="28"/>
          <w:szCs w:val="28"/>
        </w:rPr>
        <w:t>，南侧是闲置房</w:t>
      </w:r>
      <w:r>
        <w:rPr>
          <w:rFonts w:hint="eastAsia" w:ascii="宋体" w:hAnsi="宋体"/>
          <w:color w:val="auto"/>
          <w:sz w:val="28"/>
          <w:szCs w:val="28"/>
        </w:rPr>
        <w:t>。</w:t>
      </w:r>
      <w:r>
        <w:rPr>
          <w:rFonts w:hint="eastAsia" w:ascii="宋体" w:hAnsi="宋体" w:cs="宋体"/>
          <w:color w:val="auto"/>
          <w:sz w:val="28"/>
        </w:rPr>
        <w:t>该站经营许可范围为</w:t>
      </w:r>
      <w:r>
        <w:rPr>
          <w:rFonts w:hint="eastAsia" w:ascii="宋体" w:hAnsi="宋体" w:cs="宋体"/>
          <w:color w:val="auto"/>
          <w:sz w:val="28"/>
          <w:szCs w:val="28"/>
        </w:rPr>
        <w:t>汽油、乙醇汽油</w:t>
      </w:r>
      <w:r>
        <w:rPr>
          <w:rFonts w:hint="eastAsia" w:ascii="宋体" w:hAnsi="宋体" w:cs="宋体"/>
          <w:color w:val="auto"/>
          <w:sz w:val="28"/>
        </w:rPr>
        <w:t>、柴油，现其主要经营储存汽油、乙醇汽油、0#柴油（换季销售-10#柴油）</w:t>
      </w:r>
      <w:r>
        <w:rPr>
          <w:rFonts w:hint="eastAsia" w:ascii="宋体" w:hAnsi="宋体" w:cs="宋体"/>
          <w:snapToGrid w:val="0"/>
          <w:color w:val="auto"/>
          <w:kern w:val="0"/>
          <w:sz w:val="28"/>
        </w:rPr>
        <w:t>。</w:t>
      </w:r>
      <w:r>
        <w:rPr>
          <w:rFonts w:hint="eastAsia" w:ascii="宋体" w:hAnsi="宋体" w:cs="宋体"/>
          <w:color w:val="auto"/>
          <w:sz w:val="28"/>
        </w:rPr>
        <w:t>此次现状评价报告与上次报告（2025年5月）相比，更换静电接地报警器1台，其余周边环境、站内设备设施、主要建构</w:t>
      </w:r>
      <w:r>
        <w:rPr>
          <w:rFonts w:hint="eastAsia" w:ascii="宋体" w:hAnsi="宋体" w:cs="宋体"/>
          <w:color w:val="auto"/>
          <w:sz w:val="28"/>
          <w:szCs w:val="28"/>
        </w:rPr>
        <w:t>筑物未发生变化。</w:t>
      </w:r>
    </w:p>
    <w:p w14:paraId="05939823">
      <w:pPr>
        <w:pStyle w:val="24"/>
        <w:adjustRightInd w:val="0"/>
        <w:snapToGrid w:val="0"/>
        <w:spacing w:line="360" w:lineRule="auto"/>
        <w:ind w:firstLine="560" w:firstLineChars="200"/>
        <w:jc w:val="both"/>
        <w:rPr>
          <w:rFonts w:ascii="宋体" w:hAnsi="宋体" w:cs="宋体"/>
          <w:color w:val="auto"/>
          <w:sz w:val="28"/>
        </w:rPr>
      </w:pPr>
      <w:r>
        <w:rPr>
          <w:rFonts w:hint="eastAsia" w:ascii="宋体" w:hAnsi="宋体" w:cs="宋体"/>
          <w:color w:val="auto"/>
          <w:sz w:val="28"/>
        </w:rPr>
        <w:t>该加油站主要建有站房、罩棚、油罐区、加油区等。加油区在站房北侧，共设置4台双枪加油机：2台92#乙醇汽油/95#汽油加油机，2台柴油加油机，均为潜油泵式；油罐区位于站房、加油区西侧，现有5台双层储罐：1台30m</w:t>
      </w:r>
      <w:r>
        <w:rPr>
          <w:rFonts w:hint="eastAsia" w:ascii="宋体" w:hAnsi="宋体" w:cs="宋体"/>
          <w:color w:val="auto"/>
          <w:sz w:val="28"/>
          <w:vertAlign w:val="superscript"/>
        </w:rPr>
        <w:t>3</w:t>
      </w:r>
      <w:r>
        <w:rPr>
          <w:rFonts w:hint="eastAsia" w:ascii="宋体" w:hAnsi="宋体" w:cs="宋体"/>
          <w:color w:val="auto"/>
          <w:sz w:val="28"/>
        </w:rPr>
        <w:t>92#乙醇汽油罐、1台30m</w:t>
      </w:r>
      <w:r>
        <w:rPr>
          <w:rFonts w:hint="eastAsia" w:ascii="宋体" w:hAnsi="宋体" w:cs="宋体"/>
          <w:color w:val="auto"/>
          <w:sz w:val="28"/>
          <w:vertAlign w:val="superscript"/>
        </w:rPr>
        <w:t>3</w:t>
      </w:r>
      <w:r>
        <w:rPr>
          <w:rFonts w:hint="eastAsia" w:ascii="宋体" w:hAnsi="宋体" w:cs="宋体"/>
          <w:color w:val="auto"/>
          <w:sz w:val="28"/>
        </w:rPr>
        <w:t>95#汽油罐、3台30m</w:t>
      </w:r>
      <w:r>
        <w:rPr>
          <w:rFonts w:hint="eastAsia" w:ascii="宋体" w:hAnsi="宋体" w:cs="宋体"/>
          <w:color w:val="auto"/>
          <w:sz w:val="28"/>
          <w:vertAlign w:val="superscript"/>
        </w:rPr>
        <w:t>3</w:t>
      </w:r>
      <w:r>
        <w:rPr>
          <w:rFonts w:hint="eastAsia" w:ascii="宋体" w:hAnsi="宋体" w:cs="宋体"/>
          <w:color w:val="auto"/>
          <w:sz w:val="28"/>
        </w:rPr>
        <w:t>柴油罐，5台油罐均安装了液位仪、测漏仪；汽油、乙醇汽油、柴油卸油口位于油罐区内北侧，通气管5根位于油罐区内南侧；该站设有三次油气回收系统（卸油油气回收系统、加油油气回收系统、油气回收处理系统）</w:t>
      </w:r>
      <w:r>
        <w:rPr>
          <w:rFonts w:hint="eastAsia" w:ascii="宋体" w:hAnsi="宋体"/>
          <w:color w:val="auto"/>
          <w:szCs w:val="28"/>
        </w:rPr>
        <w:t>；</w:t>
      </w:r>
      <w:r>
        <w:rPr>
          <w:rFonts w:hint="eastAsia" w:ascii="宋体" w:hAnsi="宋体" w:cs="宋体"/>
          <w:color w:val="auto"/>
          <w:sz w:val="28"/>
        </w:rPr>
        <w:t>按《汽车加油加气加氢站技术标准》GB50156-2021标准规定：油罐总储量为150m³，柴油储罐容积折半计入总容积为105m³（V=30</w:t>
      </w:r>
      <w:r>
        <w:rPr>
          <w:rFonts w:hint="eastAsia" w:asciiTheme="minorEastAsia" w:hAnsiTheme="minorEastAsia" w:eastAsiaTheme="minorEastAsia" w:cstheme="minorEastAsia"/>
          <w:snapToGrid w:val="0"/>
          <w:color w:val="auto"/>
        </w:rPr>
        <w:t>×</w:t>
      </w:r>
      <w:r>
        <w:rPr>
          <w:rFonts w:hint="eastAsia" w:ascii="宋体" w:hAnsi="宋体" w:cs="宋体" w:eastAsiaTheme="minorEastAsia"/>
          <w:color w:val="auto"/>
          <w:sz w:val="28"/>
        </w:rPr>
        <w:t>2</w:t>
      </w:r>
      <w:r>
        <w:rPr>
          <w:rFonts w:hint="eastAsia" w:ascii="宋体" w:hAnsi="宋体" w:cs="宋体"/>
          <w:color w:val="auto"/>
          <w:sz w:val="28"/>
        </w:rPr>
        <w:t>+90/2=105m³），该站属二级加油站。</w:t>
      </w:r>
    </w:p>
    <w:p w14:paraId="0A402699">
      <w:pPr>
        <w:pStyle w:val="19"/>
        <w:widowControl w:val="0"/>
        <w:adjustRightInd w:val="0"/>
        <w:snapToGrid w:val="0"/>
        <w:spacing w:line="360" w:lineRule="auto"/>
        <w:outlineLvl w:val="9"/>
        <w:rPr>
          <w:color w:val="auto"/>
        </w:rPr>
      </w:pPr>
      <w:r>
        <w:rPr>
          <w:color w:val="auto"/>
        </w:rPr>
        <w:t>表</w:t>
      </w:r>
      <w:r>
        <w:rPr>
          <w:rFonts w:ascii="黑体" w:hAnsi="黑体"/>
          <w:color w:val="auto"/>
        </w:rPr>
        <w:t xml:space="preserve">2.1-1 </w:t>
      </w:r>
      <w:r>
        <w:rPr>
          <w:color w:val="auto"/>
        </w:rPr>
        <w:t>加油站的等级划分</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3134"/>
        <w:gridCol w:w="3141"/>
      </w:tblGrid>
      <w:tr w14:paraId="1E784C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vAlign w:val="center"/>
          </w:tcPr>
          <w:p w14:paraId="5A1571AE">
            <w:pPr>
              <w:pStyle w:val="20"/>
              <w:widowControl w:val="0"/>
              <w:adjustRightInd w:val="0"/>
              <w:snapToGrid w:val="0"/>
              <w:spacing w:line="360" w:lineRule="auto"/>
              <w:rPr>
                <w:rFonts w:ascii="宋体" w:hAnsi="宋体"/>
                <w:b/>
                <w:bCs/>
                <w:color w:val="auto"/>
              </w:rPr>
            </w:pPr>
            <w:r>
              <w:rPr>
                <w:rFonts w:ascii="宋体" w:hAnsi="宋体"/>
                <w:b/>
                <w:bCs/>
                <w:color w:val="auto"/>
              </w:rPr>
              <w:t>加油站</w:t>
            </w:r>
            <w:r>
              <w:rPr>
                <w:rFonts w:hint="eastAsia" w:ascii="宋体" w:hAnsi="宋体"/>
                <w:b/>
                <w:bCs/>
                <w:color w:val="auto"/>
              </w:rPr>
              <w:t>等级</w:t>
            </w:r>
          </w:p>
        </w:tc>
        <w:tc>
          <w:tcPr>
            <w:tcW w:w="3338" w:type="pct"/>
            <w:gridSpan w:val="2"/>
            <w:vAlign w:val="center"/>
          </w:tcPr>
          <w:p w14:paraId="03B6FF99">
            <w:pPr>
              <w:pStyle w:val="20"/>
              <w:widowControl w:val="0"/>
              <w:adjustRightInd w:val="0"/>
              <w:snapToGrid w:val="0"/>
              <w:spacing w:line="360" w:lineRule="auto"/>
              <w:rPr>
                <w:rFonts w:ascii="宋体" w:hAnsi="宋体"/>
                <w:b/>
                <w:bCs/>
                <w:color w:val="auto"/>
              </w:rPr>
            </w:pPr>
            <w:r>
              <w:rPr>
                <w:rFonts w:ascii="宋体" w:hAnsi="宋体"/>
                <w:b/>
                <w:bCs/>
                <w:color w:val="auto"/>
              </w:rPr>
              <w:t>加油站油罐容积（m</w:t>
            </w:r>
            <w:r>
              <w:rPr>
                <w:rFonts w:ascii="宋体" w:hAnsi="宋体"/>
                <w:b/>
                <w:bCs/>
                <w:color w:val="auto"/>
                <w:vertAlign w:val="superscript"/>
              </w:rPr>
              <w:t>3</w:t>
            </w:r>
            <w:r>
              <w:rPr>
                <w:rFonts w:ascii="宋体" w:hAnsi="宋体"/>
                <w:b/>
                <w:bCs/>
                <w:color w:val="auto"/>
              </w:rPr>
              <w:t>）</w:t>
            </w:r>
          </w:p>
        </w:tc>
      </w:tr>
      <w:tr w14:paraId="5CC856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vAlign w:val="center"/>
          </w:tcPr>
          <w:p w14:paraId="082815FE">
            <w:pPr>
              <w:pStyle w:val="20"/>
              <w:widowControl w:val="0"/>
              <w:adjustRightInd w:val="0"/>
              <w:snapToGrid w:val="0"/>
              <w:spacing w:line="360" w:lineRule="auto"/>
              <w:rPr>
                <w:rFonts w:ascii="宋体" w:hAnsi="宋体"/>
                <w:b/>
                <w:bCs/>
                <w:color w:val="auto"/>
              </w:rPr>
            </w:pPr>
          </w:p>
        </w:tc>
        <w:tc>
          <w:tcPr>
            <w:tcW w:w="1667" w:type="pct"/>
            <w:vAlign w:val="center"/>
          </w:tcPr>
          <w:p w14:paraId="04E074DD">
            <w:pPr>
              <w:pStyle w:val="20"/>
              <w:widowControl w:val="0"/>
              <w:adjustRightInd w:val="0"/>
              <w:snapToGrid w:val="0"/>
              <w:spacing w:line="360" w:lineRule="auto"/>
              <w:rPr>
                <w:rFonts w:ascii="宋体" w:hAnsi="宋体"/>
                <w:b/>
                <w:bCs/>
                <w:color w:val="auto"/>
              </w:rPr>
            </w:pPr>
            <w:r>
              <w:rPr>
                <w:rFonts w:ascii="宋体" w:hAnsi="宋体"/>
                <w:b/>
                <w:bCs/>
                <w:color w:val="auto"/>
              </w:rPr>
              <w:t>总容积</w:t>
            </w:r>
            <w:r>
              <w:rPr>
                <w:rFonts w:hint="eastAsia" w:ascii="宋体" w:hAnsi="宋体"/>
                <w:b/>
                <w:bCs/>
                <w:color w:val="auto"/>
              </w:rPr>
              <w:t>V</w:t>
            </w:r>
          </w:p>
        </w:tc>
        <w:tc>
          <w:tcPr>
            <w:tcW w:w="1671" w:type="pct"/>
            <w:vAlign w:val="center"/>
          </w:tcPr>
          <w:p w14:paraId="31EFEF9E">
            <w:pPr>
              <w:pStyle w:val="20"/>
              <w:widowControl w:val="0"/>
              <w:adjustRightInd w:val="0"/>
              <w:snapToGrid w:val="0"/>
              <w:spacing w:line="360" w:lineRule="auto"/>
              <w:rPr>
                <w:rFonts w:ascii="宋体" w:hAnsi="宋体"/>
                <w:b/>
                <w:bCs/>
                <w:color w:val="auto"/>
              </w:rPr>
            </w:pPr>
            <w:r>
              <w:rPr>
                <w:rFonts w:ascii="宋体" w:hAnsi="宋体"/>
                <w:b/>
                <w:bCs/>
                <w:color w:val="auto"/>
              </w:rPr>
              <w:t>单罐容积</w:t>
            </w:r>
          </w:p>
        </w:tc>
      </w:tr>
      <w:tr w14:paraId="2DC640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0C9C8EF3">
            <w:pPr>
              <w:pStyle w:val="20"/>
              <w:widowControl w:val="0"/>
              <w:adjustRightInd w:val="0"/>
              <w:snapToGrid w:val="0"/>
              <w:spacing w:line="360" w:lineRule="auto"/>
              <w:rPr>
                <w:rFonts w:ascii="宋体" w:hAnsi="宋体"/>
                <w:color w:val="auto"/>
              </w:rPr>
            </w:pPr>
            <w:r>
              <w:rPr>
                <w:rFonts w:ascii="宋体" w:hAnsi="宋体"/>
                <w:color w:val="auto"/>
              </w:rPr>
              <w:t>一级</w:t>
            </w:r>
          </w:p>
        </w:tc>
        <w:tc>
          <w:tcPr>
            <w:tcW w:w="1667" w:type="pct"/>
            <w:vAlign w:val="center"/>
          </w:tcPr>
          <w:p w14:paraId="6D24AFC8">
            <w:pPr>
              <w:pStyle w:val="20"/>
              <w:widowControl w:val="0"/>
              <w:adjustRightInd w:val="0"/>
              <w:snapToGrid w:val="0"/>
              <w:spacing w:line="360" w:lineRule="auto"/>
              <w:rPr>
                <w:rFonts w:ascii="宋体" w:hAnsi="宋体"/>
                <w:color w:val="auto"/>
              </w:rPr>
            </w:pPr>
            <w:r>
              <w:rPr>
                <w:rFonts w:ascii="宋体" w:hAnsi="宋体"/>
                <w:color w:val="auto"/>
              </w:rPr>
              <w:t>150＜V</w:t>
            </w:r>
            <w:r>
              <w:rPr>
                <w:rFonts w:hint="eastAsia" w:ascii="宋体" w:hAnsi="宋体"/>
                <w:color w:val="auto"/>
              </w:rPr>
              <w:t>≤</w:t>
            </w:r>
            <w:r>
              <w:rPr>
                <w:rFonts w:ascii="宋体" w:hAnsi="宋体"/>
                <w:color w:val="auto"/>
              </w:rPr>
              <w:t>210</w:t>
            </w:r>
          </w:p>
        </w:tc>
        <w:tc>
          <w:tcPr>
            <w:tcW w:w="1671" w:type="pct"/>
            <w:vAlign w:val="center"/>
          </w:tcPr>
          <w:p w14:paraId="33786BA4">
            <w:pPr>
              <w:pStyle w:val="20"/>
              <w:widowControl w:val="0"/>
              <w:adjustRightInd w:val="0"/>
              <w:snapToGrid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610F75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299CCB7F">
            <w:pPr>
              <w:pStyle w:val="20"/>
              <w:widowControl w:val="0"/>
              <w:adjustRightInd w:val="0"/>
              <w:snapToGrid w:val="0"/>
              <w:spacing w:line="360" w:lineRule="auto"/>
              <w:rPr>
                <w:rFonts w:ascii="宋体" w:hAnsi="宋体"/>
                <w:color w:val="auto"/>
              </w:rPr>
            </w:pPr>
            <w:r>
              <w:rPr>
                <w:rFonts w:ascii="宋体" w:hAnsi="宋体"/>
                <w:color w:val="auto"/>
              </w:rPr>
              <w:t>二级</w:t>
            </w:r>
          </w:p>
        </w:tc>
        <w:tc>
          <w:tcPr>
            <w:tcW w:w="1667" w:type="pct"/>
            <w:vAlign w:val="center"/>
          </w:tcPr>
          <w:p w14:paraId="7F378998">
            <w:pPr>
              <w:pStyle w:val="20"/>
              <w:widowControl w:val="0"/>
              <w:adjustRightInd w:val="0"/>
              <w:snapToGrid w:val="0"/>
              <w:spacing w:line="360" w:lineRule="auto"/>
              <w:rPr>
                <w:rFonts w:ascii="宋体" w:hAnsi="宋体"/>
                <w:color w:val="auto"/>
              </w:rPr>
            </w:pPr>
            <w:r>
              <w:rPr>
                <w:rFonts w:ascii="宋体" w:hAnsi="宋体"/>
                <w:color w:val="auto"/>
              </w:rPr>
              <w:t>90</w:t>
            </w:r>
            <w:r>
              <w:rPr>
                <w:rFonts w:hint="eastAsia" w:ascii="宋体" w:hAnsi="宋体"/>
                <w:color w:val="auto"/>
              </w:rPr>
              <w:t>＜</w:t>
            </w:r>
            <w:r>
              <w:rPr>
                <w:rFonts w:ascii="宋体" w:hAnsi="宋体"/>
                <w:color w:val="auto"/>
              </w:rPr>
              <w:t>V</w:t>
            </w:r>
            <w:r>
              <w:rPr>
                <w:rFonts w:hint="eastAsia" w:ascii="宋体" w:hAnsi="宋体"/>
                <w:color w:val="auto"/>
              </w:rPr>
              <w:t>≤</w:t>
            </w:r>
            <w:r>
              <w:rPr>
                <w:rFonts w:ascii="宋体" w:hAnsi="宋体"/>
                <w:color w:val="auto"/>
              </w:rPr>
              <w:t>150</w:t>
            </w:r>
          </w:p>
        </w:tc>
        <w:tc>
          <w:tcPr>
            <w:tcW w:w="1671" w:type="pct"/>
            <w:vAlign w:val="center"/>
          </w:tcPr>
          <w:p w14:paraId="10A690D8">
            <w:pPr>
              <w:pStyle w:val="20"/>
              <w:widowControl w:val="0"/>
              <w:adjustRightInd w:val="0"/>
              <w:snapToGrid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30E65F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2918B0F7">
            <w:pPr>
              <w:pStyle w:val="20"/>
              <w:widowControl w:val="0"/>
              <w:adjustRightInd w:val="0"/>
              <w:snapToGrid w:val="0"/>
              <w:spacing w:line="360" w:lineRule="auto"/>
              <w:rPr>
                <w:rFonts w:ascii="宋体" w:hAnsi="宋体"/>
                <w:color w:val="auto"/>
              </w:rPr>
            </w:pPr>
            <w:r>
              <w:rPr>
                <w:rFonts w:ascii="宋体" w:hAnsi="宋体"/>
                <w:color w:val="auto"/>
              </w:rPr>
              <w:t>三级</w:t>
            </w:r>
          </w:p>
        </w:tc>
        <w:tc>
          <w:tcPr>
            <w:tcW w:w="1667" w:type="pct"/>
            <w:vAlign w:val="center"/>
          </w:tcPr>
          <w:p w14:paraId="3349A975">
            <w:pPr>
              <w:pStyle w:val="20"/>
              <w:widowControl w:val="0"/>
              <w:adjustRightInd w:val="0"/>
              <w:snapToGrid w:val="0"/>
              <w:spacing w:line="360" w:lineRule="auto"/>
              <w:rPr>
                <w:rFonts w:ascii="宋体" w:hAnsi="宋体"/>
                <w:color w:val="auto"/>
              </w:rPr>
            </w:pPr>
            <w:r>
              <w:rPr>
                <w:rFonts w:ascii="宋体" w:hAnsi="宋体"/>
                <w:color w:val="auto"/>
              </w:rPr>
              <w:t>V</w:t>
            </w:r>
            <w:r>
              <w:rPr>
                <w:rFonts w:hint="eastAsia" w:ascii="宋体" w:hAnsi="宋体"/>
                <w:color w:val="auto"/>
              </w:rPr>
              <w:t>≤</w:t>
            </w:r>
            <w:r>
              <w:rPr>
                <w:rFonts w:ascii="宋体" w:hAnsi="宋体"/>
                <w:color w:val="auto"/>
              </w:rPr>
              <w:t>90</w:t>
            </w:r>
          </w:p>
        </w:tc>
        <w:tc>
          <w:tcPr>
            <w:tcW w:w="1671" w:type="pct"/>
            <w:vAlign w:val="center"/>
          </w:tcPr>
          <w:p w14:paraId="2BF6AA0C">
            <w:pPr>
              <w:pStyle w:val="20"/>
              <w:widowControl w:val="0"/>
              <w:adjustRightInd w:val="0"/>
              <w:snapToGrid w:val="0"/>
              <w:spacing w:line="360" w:lineRule="auto"/>
              <w:rPr>
                <w:rFonts w:ascii="宋体" w:hAnsi="宋体"/>
                <w:color w:val="auto"/>
              </w:rPr>
            </w:pPr>
            <w:r>
              <w:rPr>
                <w:rFonts w:hint="eastAsia" w:ascii="宋体" w:hAnsi="宋体"/>
                <w:color w:val="auto"/>
              </w:rPr>
              <w:t>汽油</w:t>
            </w:r>
            <w:r>
              <w:rPr>
                <w:rFonts w:ascii="宋体" w:hAnsi="宋体"/>
                <w:color w:val="auto"/>
              </w:rPr>
              <w:t>罐</w:t>
            </w:r>
            <w:r>
              <w:rPr>
                <w:rFonts w:hint="eastAsia" w:ascii="宋体" w:hAnsi="宋体"/>
                <w:color w:val="auto"/>
              </w:rPr>
              <w:t>≤</w:t>
            </w:r>
            <w:r>
              <w:rPr>
                <w:rFonts w:ascii="宋体" w:hAnsi="宋体"/>
                <w:color w:val="auto"/>
              </w:rPr>
              <w:t>30，柴油罐</w:t>
            </w:r>
            <w:r>
              <w:rPr>
                <w:rFonts w:hint="eastAsia" w:ascii="宋体" w:hAnsi="宋体"/>
                <w:color w:val="auto"/>
              </w:rPr>
              <w:t>≤</w:t>
            </w:r>
            <w:r>
              <w:rPr>
                <w:rFonts w:ascii="宋体" w:hAnsi="宋体"/>
                <w:color w:val="auto"/>
              </w:rPr>
              <w:t>50</w:t>
            </w:r>
          </w:p>
        </w:tc>
      </w:tr>
    </w:tbl>
    <w:p w14:paraId="10DF4DB9">
      <w:pPr>
        <w:pStyle w:val="21"/>
        <w:widowControl w:val="0"/>
        <w:adjustRightInd w:val="0"/>
        <w:snapToGrid w:val="0"/>
        <w:spacing w:line="360" w:lineRule="auto"/>
        <w:ind w:firstLine="436"/>
        <w:rPr>
          <w:rFonts w:ascii="黑体" w:hAnsi="黑体" w:cs="黑体"/>
          <w:color w:val="auto"/>
        </w:rPr>
      </w:pPr>
      <w:r>
        <w:rPr>
          <w:rFonts w:hint="eastAsia" w:ascii="黑体" w:hAnsi="黑体" w:cs="黑体"/>
          <w:color w:val="auto"/>
        </w:rPr>
        <w:t>注：V为油罐总容积。柴油罐容积可折半计入油罐总容积。</w:t>
      </w:r>
    </w:p>
    <w:p w14:paraId="61B56109">
      <w:pPr>
        <w:adjustRightInd w:val="0"/>
        <w:snapToGrid w:val="0"/>
        <w:spacing w:line="360" w:lineRule="auto"/>
        <w:ind w:firstLine="560" w:firstLineChars="200"/>
        <w:rPr>
          <w:rFonts w:ascii="宋体" w:hAnsi="宋体"/>
          <w:color w:val="auto"/>
          <w:sz w:val="28"/>
        </w:rPr>
      </w:pPr>
      <w:r>
        <w:rPr>
          <w:rFonts w:hint="eastAsia" w:ascii="宋体" w:hAnsi="宋体"/>
          <w:color w:val="auto"/>
          <w:sz w:val="28"/>
        </w:rPr>
        <w:t>该站现有职工</w:t>
      </w:r>
      <w:r>
        <w:rPr>
          <w:rFonts w:hint="eastAsia" w:ascii="宋体" w:hAnsi="宋体"/>
          <w:color w:val="auto"/>
          <w:sz w:val="28"/>
          <w:lang w:eastAsia="zh-CN"/>
        </w:rPr>
        <w:t>3人</w:t>
      </w:r>
      <w:r>
        <w:rPr>
          <w:rFonts w:hint="eastAsia" w:ascii="宋体" w:hAnsi="宋体"/>
          <w:color w:val="auto"/>
          <w:sz w:val="28"/>
        </w:rPr>
        <w:t>，其中主要负责人1人，安全生产管理员1人。主要负责人和安全生产管理人员已参加了危险化学品安全管理培训，并取得考核合格证，详见附页。</w:t>
      </w:r>
    </w:p>
    <w:p w14:paraId="06588445">
      <w:pPr>
        <w:adjustRightInd w:val="0"/>
        <w:snapToGrid w:val="0"/>
        <w:spacing w:line="360" w:lineRule="auto"/>
        <w:ind w:firstLine="560" w:firstLineChars="200"/>
        <w:rPr>
          <w:rFonts w:ascii="宋体" w:hAnsi="宋体"/>
          <w:color w:val="auto"/>
          <w:sz w:val="28"/>
          <w:szCs w:val="28"/>
        </w:rPr>
      </w:pPr>
      <w:r>
        <w:rPr>
          <w:rFonts w:hint="eastAsia" w:ascii="宋体" w:hAnsi="宋体"/>
          <w:color w:val="auto"/>
          <w:sz w:val="28"/>
          <w:szCs w:val="28"/>
        </w:rPr>
        <w:t>中国石油天然气股份有限公司山东泰安销售分公司于2004年12月1日取得新泰市人民政府签发的《国有土地使用证》，编号：新国用（2004）第0792号，终止日期2032年7月14日，详见附件。</w:t>
      </w:r>
    </w:p>
    <w:p w14:paraId="0CD6F10F">
      <w:pPr>
        <w:pStyle w:val="4"/>
        <w:adjustRightInd w:val="0"/>
        <w:snapToGrid w:val="0"/>
        <w:spacing w:line="360" w:lineRule="auto"/>
        <w:ind w:firstLine="560"/>
        <w:rPr>
          <w:rFonts w:asciiTheme="minorEastAsia" w:hAnsiTheme="minorEastAsia" w:eastAsiaTheme="minorEastAsia" w:cstheme="minorEastAsia"/>
          <w:color w:val="auto"/>
          <w:szCs w:val="28"/>
        </w:rPr>
      </w:pPr>
      <w:r>
        <w:rPr>
          <w:rFonts w:hint="eastAsia" w:asciiTheme="minorEastAsia" w:hAnsiTheme="minorEastAsia" w:eastAsiaTheme="minorEastAsia" w:cstheme="minorEastAsia"/>
          <w:color w:val="auto"/>
          <w:szCs w:val="28"/>
        </w:rPr>
        <w:t>加油站曾用名：</w:t>
      </w:r>
      <w:r>
        <w:rPr>
          <w:rFonts w:hint="eastAsia" w:ascii="宋体" w:hAnsi="宋体"/>
          <w:color w:val="auto"/>
          <w:szCs w:val="28"/>
        </w:rPr>
        <w:t>中国石油泰安销售分公司第五十一加油站，</w:t>
      </w:r>
      <w:r>
        <w:rPr>
          <w:rFonts w:hint="eastAsia" w:ascii="宋体"/>
          <w:color w:val="auto"/>
        </w:rPr>
        <w:t>于2007年8月20日取得了新泰市公安消防大队出具的《建筑工程消防验收的意见书》(编号：新公消（建验）字[2007]第0001号）</w:t>
      </w:r>
      <w:r>
        <w:rPr>
          <w:rFonts w:hint="eastAsia" w:asciiTheme="minorEastAsia" w:hAnsiTheme="minorEastAsia" w:eastAsiaTheme="minorEastAsia" w:cstheme="minorEastAsia"/>
          <w:color w:val="auto"/>
          <w:szCs w:val="28"/>
        </w:rPr>
        <w:t>，结论为：该建筑工程基本符合国家消防规范和我大队审核要求，</w:t>
      </w:r>
      <w:r>
        <w:rPr>
          <w:rFonts w:hint="eastAsia" w:asciiTheme="minorEastAsia" w:hAnsiTheme="minorEastAsia" w:eastAsiaTheme="minorEastAsia" w:cstheme="minorEastAsia"/>
          <w:color w:val="auto"/>
        </w:rPr>
        <w:t>消防验收合格</w:t>
      </w:r>
      <w:r>
        <w:rPr>
          <w:rFonts w:hint="eastAsia" w:asciiTheme="minorEastAsia" w:hAnsiTheme="minorEastAsia" w:eastAsiaTheme="minorEastAsia" w:cstheme="minorEastAsia"/>
          <w:color w:val="auto"/>
          <w:szCs w:val="28"/>
        </w:rPr>
        <w:t>，详见附件。</w:t>
      </w:r>
    </w:p>
    <w:p w14:paraId="2CEA8373">
      <w:pPr>
        <w:pStyle w:val="17"/>
        <w:widowControl w:val="0"/>
        <w:adjustRightInd w:val="0"/>
        <w:snapToGrid w:val="0"/>
        <w:spacing w:line="360" w:lineRule="auto"/>
        <w:ind w:firstLine="560"/>
        <w:rPr>
          <w:rFonts w:ascii="宋体"/>
          <w:color w:val="auto"/>
        </w:rPr>
      </w:pPr>
      <w:r>
        <w:rPr>
          <w:rFonts w:hint="eastAsia" w:ascii="宋体"/>
          <w:color w:val="auto"/>
        </w:rPr>
        <w:t>该站于2022年02月23日换发了《成品油零售经营批准证书》，证书编号：鲁油零售证书第3709022017号，证书有效期至2027年02月23日，证书见附件。</w:t>
      </w:r>
    </w:p>
    <w:p w14:paraId="3BC192B1">
      <w:pPr>
        <w:pStyle w:val="17"/>
        <w:widowControl w:val="0"/>
        <w:adjustRightInd w:val="0"/>
        <w:snapToGrid w:val="0"/>
        <w:spacing w:line="360" w:lineRule="auto"/>
        <w:ind w:firstLine="560"/>
        <w:rPr>
          <w:rFonts w:ascii="宋体"/>
          <w:color w:val="auto"/>
        </w:rPr>
      </w:pPr>
      <w:r>
        <w:rPr>
          <w:rFonts w:hint="eastAsia" w:ascii="宋体"/>
          <w:color w:val="auto"/>
        </w:rPr>
        <w:t>该站于2023年09月28日换发了《危险化学品经营许可证》，证书编号：鲁泰危化经[2023]000457号，证书有效期至2026年10月30日，证书见附件。</w:t>
      </w:r>
    </w:p>
    <w:p w14:paraId="0C2567D2">
      <w:pPr>
        <w:adjustRightInd w:val="0"/>
        <w:snapToGrid w:val="0"/>
        <w:spacing w:line="360" w:lineRule="auto"/>
        <w:ind w:firstLine="560" w:firstLineChars="200"/>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该站编制了生产安全事故应急预案，于2025年3月7日在泰安市应急管理局进行了备案，备案编号为：370900-2025-0029，详见附件。</w:t>
      </w:r>
    </w:p>
    <w:p w14:paraId="120C9CC3">
      <w:pPr>
        <w:adjustRightInd w:val="0"/>
        <w:snapToGrid w:val="0"/>
        <w:spacing w:line="360" w:lineRule="auto"/>
        <w:ind w:firstLine="560" w:firstLineChars="200"/>
        <w:rPr>
          <w:rFonts w:asciiTheme="minorEastAsia" w:hAnsiTheme="minorEastAsia" w:eastAsiaTheme="minorEastAsia" w:cstheme="minorEastAsia"/>
          <w:color w:val="auto"/>
          <w:sz w:val="28"/>
        </w:rPr>
      </w:pPr>
      <w:r>
        <w:rPr>
          <w:rFonts w:hint="eastAsia" w:asciiTheme="minorEastAsia" w:hAnsiTheme="minorEastAsia" w:eastAsiaTheme="minorEastAsia" w:cstheme="minorEastAsia"/>
          <w:color w:val="auto"/>
          <w:sz w:val="28"/>
          <w:szCs w:val="28"/>
        </w:rPr>
        <w:t>山东天科防雷工程有限公司对该站进行了相关防雷设施的检测，出具了合格的《雷电防护装置定期检测报告》，报告编号：（1122016001）[2026]D-TA</w:t>
      </w:r>
      <w:r>
        <w:rPr>
          <w:rFonts w:hint="eastAsia" w:asciiTheme="minorEastAsia" w:hAnsiTheme="minorEastAsia" w:eastAsiaTheme="minorEastAsia" w:cstheme="minorEastAsia"/>
          <w:color w:val="auto"/>
          <w:sz w:val="28"/>
          <w:szCs w:val="28"/>
          <w:lang w:val="en-US" w:eastAsia="zh-CN"/>
        </w:rPr>
        <w:t>XT</w:t>
      </w:r>
      <w:r>
        <w:rPr>
          <w:rFonts w:hint="eastAsia" w:asciiTheme="minorEastAsia" w:hAnsiTheme="minorEastAsia" w:eastAsiaTheme="minorEastAsia" w:cstheme="minorEastAsia"/>
          <w:color w:val="auto"/>
          <w:sz w:val="28"/>
          <w:szCs w:val="28"/>
        </w:rPr>
        <w:t>010</w:t>
      </w:r>
      <w:r>
        <w:rPr>
          <w:rFonts w:hint="eastAsia" w:asciiTheme="minorEastAsia" w:hAnsiTheme="minorEastAsia" w:eastAsiaTheme="minorEastAsia" w:cstheme="minorEastAsia"/>
          <w:color w:val="auto"/>
          <w:sz w:val="28"/>
          <w:szCs w:val="28"/>
          <w:lang w:val="en-US" w:eastAsia="zh-CN"/>
        </w:rPr>
        <w:t>8</w:t>
      </w:r>
      <w:r>
        <w:rPr>
          <w:rFonts w:hint="eastAsia" w:asciiTheme="minorEastAsia" w:hAnsiTheme="minorEastAsia" w:eastAsiaTheme="minorEastAsia" w:cstheme="minorEastAsia"/>
          <w:color w:val="auto"/>
          <w:sz w:val="28"/>
          <w:szCs w:val="28"/>
        </w:rPr>
        <w:t>号，防雷类别：二类，结论为“合格：加油站雷电防</w:t>
      </w:r>
      <w:r>
        <w:rPr>
          <w:rFonts w:hint="eastAsia" w:asciiTheme="minorEastAsia" w:hAnsiTheme="minorEastAsia" w:eastAsiaTheme="minorEastAsia" w:cstheme="minorEastAsia"/>
          <w:color w:val="auto"/>
          <w:sz w:val="28"/>
        </w:rPr>
        <w:t>护装置符合现行国家防雷规范标准要求”，有效期至2026年09月2</w:t>
      </w:r>
      <w:r>
        <w:rPr>
          <w:rFonts w:hint="eastAsia" w:asciiTheme="minorEastAsia" w:hAnsiTheme="minorEastAsia" w:eastAsiaTheme="minorEastAsia" w:cstheme="minorEastAsia"/>
          <w:color w:val="auto"/>
          <w:sz w:val="28"/>
          <w:lang w:val="en-US" w:eastAsia="zh-CN"/>
        </w:rPr>
        <w:t>7</w:t>
      </w:r>
      <w:r>
        <w:rPr>
          <w:rFonts w:hint="eastAsia" w:asciiTheme="minorEastAsia" w:hAnsiTheme="minorEastAsia" w:eastAsiaTheme="minorEastAsia" w:cstheme="minorEastAsia"/>
          <w:color w:val="auto"/>
          <w:sz w:val="28"/>
        </w:rPr>
        <w:t>日，检测报告见附件。</w:t>
      </w:r>
    </w:p>
    <w:p w14:paraId="2025FD6C">
      <w:pPr>
        <w:pStyle w:val="17"/>
        <w:widowControl w:val="0"/>
        <w:adjustRightInd w:val="0"/>
        <w:snapToGrid w:val="0"/>
        <w:spacing w:line="360" w:lineRule="auto"/>
        <w:ind w:firstLine="56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济南艺赛技术咨询服务有限公司对该站的</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套可燃气体检测报警器进行了相关校准，出具了合格的《校准证书》，校准结果：</w:t>
      </w:r>
      <w:r>
        <w:rPr>
          <w:rFonts w:hint="eastAsia" w:asciiTheme="minorEastAsia" w:hAnsiTheme="minorEastAsia" w:eastAsiaTheme="minorEastAsia" w:cstheme="minorEastAsia"/>
          <w:color w:val="auto"/>
          <w:lang w:val="en-US" w:eastAsia="zh-CN"/>
        </w:rPr>
        <w:t>合格</w:t>
      </w:r>
      <w:r>
        <w:rPr>
          <w:rFonts w:hint="eastAsia" w:asciiTheme="minorEastAsia" w:hAnsiTheme="minorEastAsia" w:eastAsiaTheme="minorEastAsia" w:cstheme="minorEastAsia"/>
          <w:color w:val="auto"/>
        </w:rPr>
        <w:t>。校准日期为2026年03月1</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日，有效期至2027年03月</w:t>
      </w:r>
      <w:r>
        <w:rPr>
          <w:rFonts w:hint="eastAsia" w:asciiTheme="minorEastAsia" w:hAnsiTheme="minorEastAsia" w:eastAsiaTheme="minorEastAsia" w:cstheme="minorEastAsia"/>
          <w:color w:val="auto"/>
          <w:lang w:val="en-US" w:eastAsia="zh-CN"/>
        </w:rPr>
        <w:t>11</w:t>
      </w:r>
      <w:r>
        <w:rPr>
          <w:rFonts w:hint="eastAsia" w:asciiTheme="minorEastAsia" w:hAnsiTheme="minorEastAsia" w:eastAsiaTheme="minorEastAsia" w:cstheme="minorEastAsia"/>
          <w:color w:val="auto"/>
        </w:rPr>
        <w:t>日。</w:t>
      </w:r>
    </w:p>
    <w:p w14:paraId="1342B805">
      <w:pPr>
        <w:pStyle w:val="17"/>
        <w:widowControl w:val="0"/>
        <w:adjustRightInd w:val="0"/>
        <w:snapToGrid w:val="0"/>
        <w:spacing w:line="360" w:lineRule="auto"/>
        <w:ind w:firstLine="56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该站在中国太平洋财产保险股份有限公司北京分公司投保安全生产责任保险，保险期限2026年1月1日至2026年12月31日，详见附件。</w:t>
      </w:r>
    </w:p>
    <w:p w14:paraId="019A5DA7">
      <w:pPr>
        <w:pStyle w:val="17"/>
        <w:widowControl w:val="0"/>
        <w:adjustRightInd w:val="0"/>
        <w:snapToGrid w:val="0"/>
        <w:spacing w:line="360" w:lineRule="auto"/>
        <w:ind w:firstLine="560"/>
        <w:rPr>
          <w:rFonts w:ascii="宋体"/>
          <w:color w:val="auto"/>
        </w:rPr>
      </w:pPr>
      <w:r>
        <w:rPr>
          <w:rFonts w:hint="eastAsia" w:ascii="宋体"/>
          <w:color w:val="auto"/>
        </w:rPr>
        <w:t>该站建立健全了安全生产责任制、安全生产规章制度和安全操作规程，执行情况较好。</w:t>
      </w:r>
    </w:p>
    <w:p w14:paraId="1A078E3C">
      <w:pPr>
        <w:pStyle w:val="17"/>
        <w:widowControl w:val="0"/>
        <w:adjustRightInd w:val="0"/>
        <w:snapToGrid w:val="0"/>
        <w:spacing w:line="360" w:lineRule="auto"/>
        <w:ind w:firstLine="560"/>
        <w:rPr>
          <w:rFonts w:ascii="宋体"/>
          <w:color w:val="auto"/>
        </w:rPr>
      </w:pPr>
      <w:r>
        <w:rPr>
          <w:rFonts w:hint="eastAsia" w:ascii="宋体"/>
          <w:color w:val="auto"/>
        </w:rPr>
        <w:t>该站有生产经营单位生产事故应急预案，并定期进行应急救援演练。该加油站消防器材配备齐全，加油站配备了35kg推车式干粉灭火器2具，5kg手提式干粉灭火器14具，CO</w:t>
      </w:r>
      <w:r>
        <w:rPr>
          <w:rFonts w:hint="eastAsia" w:ascii="宋体"/>
          <w:color w:val="auto"/>
          <w:vertAlign w:val="subscript"/>
        </w:rPr>
        <w:t>2</w:t>
      </w:r>
      <w:r>
        <w:rPr>
          <w:rFonts w:hint="eastAsia" w:ascii="宋体"/>
          <w:color w:val="auto"/>
        </w:rPr>
        <w:t>灭火器4具，灭火毯5块，消防锨4把，消防桶4个，消防沙池2m</w:t>
      </w:r>
      <w:r>
        <w:rPr>
          <w:rFonts w:hint="eastAsia" w:ascii="宋体"/>
          <w:color w:val="auto"/>
          <w:vertAlign w:val="superscript"/>
        </w:rPr>
        <w:t>3</w:t>
      </w:r>
      <w:r>
        <w:rPr>
          <w:rFonts w:hint="eastAsia" w:ascii="宋体"/>
          <w:color w:val="auto"/>
        </w:rPr>
        <w:t>。</w:t>
      </w:r>
    </w:p>
    <w:p w14:paraId="1033DE9C">
      <w:pPr>
        <w:pStyle w:val="18"/>
        <w:spacing w:before="312" w:after="312"/>
        <w:rPr>
          <w:color w:val="auto"/>
        </w:rPr>
      </w:pPr>
      <w:r>
        <w:rPr>
          <w:rFonts w:hint="eastAsia"/>
          <w:color w:val="auto"/>
        </w:rPr>
        <w:t>第四章 评价单元划分与评价方法选择</w:t>
      </w:r>
    </w:p>
    <w:p w14:paraId="30EFAFE2">
      <w:pPr>
        <w:pStyle w:val="2"/>
        <w:spacing w:before="312" w:beforeLines="100" w:after="312" w:afterLines="100" w:line="360" w:lineRule="auto"/>
        <w:ind w:firstLine="0"/>
        <w:rPr>
          <w:color w:val="auto"/>
        </w:rPr>
      </w:pPr>
      <w:bookmarkStart w:id="16" w:name="_Toc23543"/>
      <w:bookmarkStart w:id="17" w:name="_Toc102634407"/>
      <w:bookmarkStart w:id="18" w:name="_Toc12643"/>
      <w:bookmarkStart w:id="19" w:name="_Toc102633981"/>
      <w:bookmarkStart w:id="20" w:name="_Toc7829"/>
      <w:bookmarkStart w:id="21" w:name="_Toc272364536"/>
      <w:bookmarkStart w:id="22" w:name="_Toc15033754"/>
      <w:bookmarkStart w:id="23" w:name="_Toc102633907"/>
      <w:bookmarkStart w:id="24" w:name="_Toc102634256"/>
      <w:bookmarkStart w:id="25" w:name="_Toc192907201"/>
      <w:bookmarkStart w:id="26" w:name="_Toc238007574"/>
      <w:bookmarkStart w:id="27" w:name="_Toc198026273"/>
      <w:r>
        <w:rPr>
          <w:rFonts w:hint="eastAsia"/>
          <w:color w:val="auto"/>
        </w:rPr>
        <w:t>第一节 评价单元的划分</w:t>
      </w:r>
      <w:bookmarkEnd w:id="16"/>
      <w:bookmarkEnd w:id="17"/>
      <w:bookmarkEnd w:id="18"/>
      <w:bookmarkEnd w:id="19"/>
      <w:bookmarkEnd w:id="20"/>
      <w:bookmarkEnd w:id="21"/>
      <w:bookmarkEnd w:id="22"/>
      <w:bookmarkEnd w:id="23"/>
      <w:bookmarkEnd w:id="24"/>
      <w:bookmarkEnd w:id="25"/>
      <w:bookmarkEnd w:id="26"/>
      <w:bookmarkEnd w:id="27"/>
    </w:p>
    <w:p w14:paraId="763B4731">
      <w:pPr>
        <w:pStyle w:val="17"/>
        <w:widowControl w:val="0"/>
        <w:adjustRightInd w:val="0"/>
        <w:snapToGrid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5B2717B0">
      <w:pPr>
        <w:pStyle w:val="22"/>
        <w:widowControl w:val="0"/>
        <w:adjustRightInd w:val="0"/>
        <w:snapToGrid w:val="0"/>
        <w:spacing w:line="360" w:lineRule="auto"/>
        <w:ind w:firstLine="560"/>
        <w:jc w:val="both"/>
        <w:rPr>
          <w:color w:val="auto"/>
        </w:rPr>
      </w:pPr>
      <w:bookmarkStart w:id="28" w:name="_Toc102634257"/>
      <w:r>
        <w:rPr>
          <w:rFonts w:hint="eastAsia"/>
          <w:color w:val="auto"/>
        </w:rPr>
        <w:t>一</w:t>
      </w:r>
      <w:r>
        <w:rPr>
          <w:color w:val="auto"/>
        </w:rPr>
        <w:t>、以危险有害因素的类别为主划分评价单元</w:t>
      </w:r>
      <w:bookmarkEnd w:id="28"/>
    </w:p>
    <w:p w14:paraId="05C4A291">
      <w:pPr>
        <w:pStyle w:val="17"/>
        <w:widowControl w:val="0"/>
        <w:adjustRightInd w:val="0"/>
        <w:snapToGrid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639D502B">
      <w:pPr>
        <w:pStyle w:val="17"/>
        <w:widowControl w:val="0"/>
        <w:adjustRightInd w:val="0"/>
        <w:snapToGrid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25196401">
      <w:pPr>
        <w:pStyle w:val="22"/>
        <w:widowControl w:val="0"/>
        <w:adjustRightInd w:val="0"/>
        <w:snapToGrid w:val="0"/>
        <w:spacing w:line="360" w:lineRule="auto"/>
        <w:ind w:firstLine="560"/>
        <w:jc w:val="both"/>
        <w:rPr>
          <w:color w:val="auto"/>
        </w:rPr>
      </w:pPr>
      <w:bookmarkStart w:id="29" w:name="_Toc102634258"/>
      <w:r>
        <w:rPr>
          <w:rFonts w:hint="eastAsia"/>
          <w:color w:val="auto"/>
        </w:rPr>
        <w:t>二</w:t>
      </w:r>
      <w:r>
        <w:rPr>
          <w:color w:val="auto"/>
        </w:rPr>
        <w:t>、以物质特征划分评价单元</w:t>
      </w:r>
      <w:bookmarkEnd w:id="29"/>
    </w:p>
    <w:p w14:paraId="5A1E40CB">
      <w:pPr>
        <w:pStyle w:val="17"/>
        <w:widowControl w:val="0"/>
        <w:adjustRightInd w:val="0"/>
        <w:snapToGrid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55A8A20F">
      <w:pPr>
        <w:pStyle w:val="17"/>
        <w:widowControl w:val="0"/>
        <w:adjustRightInd w:val="0"/>
        <w:snapToGrid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415DEC05">
      <w:pPr>
        <w:pStyle w:val="17"/>
        <w:widowControl w:val="0"/>
        <w:adjustRightInd w:val="0"/>
        <w:snapToGrid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w:t>
      </w:r>
      <w:r>
        <w:rPr>
          <w:rFonts w:hint="eastAsia" w:ascii="宋体"/>
          <w:color w:val="auto"/>
        </w:rPr>
        <w:t>四</w:t>
      </w:r>
      <w:r>
        <w:rPr>
          <w:rFonts w:ascii="宋体"/>
          <w:color w:val="auto"/>
        </w:rPr>
        <w:t>个单元：</w:t>
      </w:r>
    </w:p>
    <w:p w14:paraId="4B345C19">
      <w:pPr>
        <w:pStyle w:val="17"/>
        <w:widowControl w:val="0"/>
        <w:adjustRightInd w:val="0"/>
        <w:snapToGrid w:val="0"/>
        <w:spacing w:line="360" w:lineRule="auto"/>
        <w:ind w:firstLine="560"/>
        <w:rPr>
          <w:rFonts w:ascii="宋体"/>
          <w:color w:val="auto"/>
        </w:rPr>
      </w:pPr>
      <w:r>
        <w:rPr>
          <w:rFonts w:ascii="宋体"/>
          <w:color w:val="auto"/>
        </w:rPr>
        <w:t>1、安全管理；</w:t>
      </w:r>
    </w:p>
    <w:p w14:paraId="32BE1495">
      <w:pPr>
        <w:pStyle w:val="17"/>
        <w:widowControl w:val="0"/>
        <w:adjustRightInd w:val="0"/>
        <w:snapToGrid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41286861">
      <w:pPr>
        <w:pStyle w:val="17"/>
        <w:widowControl w:val="0"/>
        <w:adjustRightInd w:val="0"/>
        <w:snapToGrid w:val="0"/>
        <w:spacing w:line="360" w:lineRule="auto"/>
        <w:ind w:firstLine="560"/>
        <w:rPr>
          <w:rFonts w:ascii="宋体"/>
          <w:color w:val="auto"/>
        </w:rPr>
      </w:pPr>
      <w:r>
        <w:rPr>
          <w:rFonts w:ascii="宋体"/>
          <w:color w:val="auto"/>
        </w:rPr>
        <w:t>3、加油工艺及设施；</w:t>
      </w:r>
    </w:p>
    <w:p w14:paraId="46391952">
      <w:pPr>
        <w:pStyle w:val="17"/>
        <w:widowControl w:val="0"/>
        <w:adjustRightInd w:val="0"/>
        <w:snapToGrid w:val="0"/>
        <w:spacing w:line="360" w:lineRule="auto"/>
        <w:ind w:firstLine="560"/>
        <w:rPr>
          <w:rFonts w:ascii="宋体"/>
          <w:color w:val="auto"/>
        </w:rPr>
      </w:pPr>
      <w:r>
        <w:rPr>
          <w:rFonts w:ascii="宋体"/>
          <w:color w:val="auto"/>
        </w:rPr>
        <w:t>4、其它安全设施</w:t>
      </w:r>
    </w:p>
    <w:p w14:paraId="5DA9EF16">
      <w:pPr>
        <w:pStyle w:val="2"/>
        <w:spacing w:before="312" w:beforeLines="100" w:after="312" w:afterLines="100" w:line="360" w:lineRule="auto"/>
        <w:ind w:firstLine="0"/>
        <w:rPr>
          <w:rFonts w:hint="eastAsia"/>
          <w:color w:val="auto"/>
        </w:rPr>
      </w:pPr>
      <w:bookmarkStart w:id="30" w:name="_Toc102633908"/>
      <w:bookmarkStart w:id="31" w:name="_Toc102633982"/>
      <w:bookmarkStart w:id="32" w:name="_Toc22810"/>
      <w:bookmarkStart w:id="33" w:name="_Toc102634259"/>
      <w:bookmarkStart w:id="34" w:name="_Toc102634408"/>
    </w:p>
    <w:p w14:paraId="178D2E97">
      <w:pPr>
        <w:pStyle w:val="2"/>
        <w:spacing w:before="312" w:beforeLines="100" w:after="312" w:afterLines="100" w:line="360" w:lineRule="auto"/>
        <w:ind w:firstLine="0"/>
        <w:rPr>
          <w:color w:val="auto"/>
        </w:rPr>
      </w:pPr>
      <w:r>
        <w:rPr>
          <w:rFonts w:hint="eastAsia"/>
          <w:color w:val="auto"/>
        </w:rPr>
        <w:t>第二节 评价方法的选择</w:t>
      </w:r>
      <w:bookmarkEnd w:id="30"/>
      <w:bookmarkEnd w:id="31"/>
      <w:bookmarkEnd w:id="32"/>
      <w:bookmarkEnd w:id="33"/>
      <w:bookmarkEnd w:id="34"/>
    </w:p>
    <w:p w14:paraId="1E411B7E">
      <w:pPr>
        <w:pStyle w:val="17"/>
        <w:widowControl w:val="0"/>
        <w:adjustRightInd w:val="0"/>
        <w:snapToGrid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42C872EF">
      <w:pPr>
        <w:pStyle w:val="17"/>
        <w:widowControl w:val="0"/>
        <w:adjustRightInd w:val="0"/>
        <w:snapToGrid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1EEE2394">
      <w:pPr>
        <w:pStyle w:val="17"/>
        <w:widowControl w:val="0"/>
        <w:adjustRightInd w:val="0"/>
        <w:snapToGrid w:val="0"/>
        <w:spacing w:line="360" w:lineRule="auto"/>
        <w:ind w:firstLine="560"/>
        <w:rPr>
          <w:rFonts w:ascii="宋体"/>
          <w:color w:val="auto"/>
        </w:rPr>
      </w:pPr>
      <w:r>
        <w:rPr>
          <w:rFonts w:ascii="宋体"/>
          <w:color w:val="auto"/>
        </w:rPr>
        <w:t>根据本次安全评价的特点，结合</w:t>
      </w:r>
      <w:r>
        <w:rPr>
          <w:rFonts w:hint="eastAsia" w:ascii="宋体"/>
          <w:color w:val="auto"/>
        </w:rPr>
        <w:t>泰安市岱岳区山口平安加油站</w:t>
      </w:r>
      <w:r>
        <w:rPr>
          <w:rFonts w:ascii="宋体"/>
          <w:color w:val="auto"/>
        </w:rPr>
        <w:t>的具体情况，选用安全检查表、事故树法及危险度评价法对加油站进行评价。具体应用如下表所示：</w:t>
      </w:r>
    </w:p>
    <w:p w14:paraId="30D795B2">
      <w:pPr>
        <w:pStyle w:val="19"/>
        <w:widowControl w:val="0"/>
        <w:adjustRightInd w:val="0"/>
        <w:snapToGrid w:val="0"/>
        <w:outlineLvl w:val="9"/>
        <w:rPr>
          <w:rFonts w:ascii="黑体" w:hAnsi="黑体"/>
          <w:color w:val="auto"/>
        </w:rPr>
      </w:pPr>
      <w:r>
        <w:rPr>
          <w:rFonts w:ascii="黑体" w:hAnsi="黑体"/>
          <w:color w:val="auto"/>
        </w:rPr>
        <w:t>表4.2-1 评价方法选择一览表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5"/>
        <w:gridCol w:w="2416"/>
        <w:gridCol w:w="2249"/>
        <w:gridCol w:w="2200"/>
        <w:gridCol w:w="1830"/>
      </w:tblGrid>
      <w:tr w14:paraId="53FBF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restart"/>
            <w:vAlign w:val="center"/>
          </w:tcPr>
          <w:p w14:paraId="59969897">
            <w:pPr>
              <w:pStyle w:val="20"/>
              <w:widowControl w:val="0"/>
              <w:adjustRightInd w:val="0"/>
              <w:snapToGrid w:val="0"/>
              <w:spacing w:line="360" w:lineRule="auto"/>
              <w:rPr>
                <w:rFonts w:ascii="宋体"/>
                <w:b/>
                <w:color w:val="auto"/>
                <w:lang w:val="en-GB"/>
              </w:rPr>
            </w:pPr>
            <w:r>
              <w:rPr>
                <w:rFonts w:ascii="宋体"/>
                <w:b/>
                <w:color w:val="auto"/>
                <w:lang w:val="en-GB"/>
              </w:rPr>
              <w:t>序号</w:t>
            </w:r>
          </w:p>
        </w:tc>
        <w:tc>
          <w:tcPr>
            <w:tcW w:w="1285" w:type="pct"/>
            <w:vMerge w:val="restart"/>
            <w:vAlign w:val="center"/>
          </w:tcPr>
          <w:p w14:paraId="0168CB46">
            <w:pPr>
              <w:pStyle w:val="20"/>
              <w:widowControl w:val="0"/>
              <w:adjustRightInd w:val="0"/>
              <w:snapToGrid w:val="0"/>
              <w:spacing w:line="360" w:lineRule="auto"/>
              <w:rPr>
                <w:rFonts w:ascii="宋体"/>
                <w:b/>
                <w:color w:val="auto"/>
              </w:rPr>
            </w:pPr>
            <w:r>
              <w:rPr>
                <w:rFonts w:ascii="宋体"/>
                <w:b/>
                <w:bCs/>
                <w:color w:val="auto"/>
                <w:lang w:val="en-GB"/>
              </w:rPr>
              <w:t>评价单元</w:t>
            </w:r>
          </w:p>
        </w:tc>
        <w:tc>
          <w:tcPr>
            <w:tcW w:w="3339" w:type="pct"/>
            <w:gridSpan w:val="3"/>
            <w:vAlign w:val="center"/>
          </w:tcPr>
          <w:p w14:paraId="2C4AFDEB">
            <w:pPr>
              <w:pStyle w:val="20"/>
              <w:widowControl w:val="0"/>
              <w:adjustRightInd w:val="0"/>
              <w:snapToGrid w:val="0"/>
              <w:spacing w:line="360" w:lineRule="auto"/>
              <w:rPr>
                <w:rFonts w:ascii="宋体"/>
                <w:b/>
                <w:color w:val="auto"/>
              </w:rPr>
            </w:pPr>
            <w:r>
              <w:rPr>
                <w:rFonts w:ascii="宋体"/>
                <w:b/>
                <w:color w:val="auto"/>
                <w:lang w:val="en-GB"/>
              </w:rPr>
              <w:t>评价方法</w:t>
            </w:r>
          </w:p>
        </w:tc>
      </w:tr>
      <w:tr w14:paraId="310372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continue"/>
            <w:vAlign w:val="center"/>
          </w:tcPr>
          <w:p w14:paraId="03509717">
            <w:pPr>
              <w:pStyle w:val="20"/>
              <w:widowControl w:val="0"/>
              <w:adjustRightInd w:val="0"/>
              <w:snapToGrid w:val="0"/>
              <w:spacing w:line="360" w:lineRule="auto"/>
              <w:rPr>
                <w:rFonts w:ascii="宋体"/>
                <w:b/>
                <w:color w:val="auto"/>
                <w:lang w:val="en-GB"/>
              </w:rPr>
            </w:pPr>
          </w:p>
        </w:tc>
        <w:tc>
          <w:tcPr>
            <w:tcW w:w="1285" w:type="pct"/>
            <w:vMerge w:val="continue"/>
            <w:vAlign w:val="center"/>
          </w:tcPr>
          <w:p w14:paraId="45C0FD29">
            <w:pPr>
              <w:pStyle w:val="20"/>
              <w:widowControl w:val="0"/>
              <w:adjustRightInd w:val="0"/>
              <w:snapToGrid w:val="0"/>
              <w:spacing w:line="360" w:lineRule="auto"/>
              <w:rPr>
                <w:rFonts w:ascii="宋体"/>
                <w:b/>
                <w:color w:val="auto"/>
              </w:rPr>
            </w:pPr>
          </w:p>
        </w:tc>
        <w:tc>
          <w:tcPr>
            <w:tcW w:w="1196" w:type="pct"/>
            <w:vAlign w:val="center"/>
          </w:tcPr>
          <w:p w14:paraId="17BCE365">
            <w:pPr>
              <w:pStyle w:val="20"/>
              <w:widowControl w:val="0"/>
              <w:adjustRightInd w:val="0"/>
              <w:snapToGrid w:val="0"/>
              <w:spacing w:line="360" w:lineRule="auto"/>
              <w:rPr>
                <w:rFonts w:ascii="宋体"/>
                <w:b/>
                <w:color w:val="auto"/>
                <w:lang w:val="en-GB"/>
              </w:rPr>
            </w:pPr>
            <w:r>
              <w:rPr>
                <w:rFonts w:ascii="宋体"/>
                <w:b/>
                <w:color w:val="auto"/>
                <w:lang w:val="en-GB"/>
              </w:rPr>
              <w:t>安全检查表</w:t>
            </w:r>
          </w:p>
        </w:tc>
        <w:tc>
          <w:tcPr>
            <w:tcW w:w="1170" w:type="pct"/>
            <w:vAlign w:val="center"/>
          </w:tcPr>
          <w:p w14:paraId="446C4779">
            <w:pPr>
              <w:pStyle w:val="20"/>
              <w:widowControl w:val="0"/>
              <w:adjustRightInd w:val="0"/>
              <w:snapToGrid w:val="0"/>
              <w:spacing w:line="360" w:lineRule="auto"/>
              <w:rPr>
                <w:rFonts w:ascii="宋体"/>
                <w:b/>
                <w:color w:val="auto"/>
                <w:lang w:val="en-GB"/>
              </w:rPr>
            </w:pPr>
            <w:r>
              <w:rPr>
                <w:rFonts w:ascii="宋体"/>
                <w:b/>
                <w:color w:val="auto"/>
                <w:lang w:val="en-GB"/>
              </w:rPr>
              <w:t>危险度评价法</w:t>
            </w:r>
          </w:p>
        </w:tc>
        <w:tc>
          <w:tcPr>
            <w:tcW w:w="972" w:type="pct"/>
            <w:vAlign w:val="center"/>
          </w:tcPr>
          <w:p w14:paraId="08FEC620">
            <w:pPr>
              <w:pStyle w:val="20"/>
              <w:widowControl w:val="0"/>
              <w:adjustRightInd w:val="0"/>
              <w:snapToGrid w:val="0"/>
              <w:spacing w:line="360" w:lineRule="auto"/>
              <w:rPr>
                <w:rFonts w:ascii="宋体"/>
                <w:b/>
                <w:color w:val="auto"/>
                <w:lang w:val="en-GB"/>
              </w:rPr>
            </w:pPr>
            <w:r>
              <w:rPr>
                <w:rFonts w:ascii="宋体"/>
                <w:b/>
                <w:color w:val="auto"/>
                <w:lang w:val="en-GB"/>
              </w:rPr>
              <w:t>事故树法</w:t>
            </w:r>
          </w:p>
        </w:tc>
      </w:tr>
      <w:tr w14:paraId="27EEAC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C5D8607">
            <w:pPr>
              <w:pStyle w:val="20"/>
              <w:widowControl w:val="0"/>
              <w:adjustRightInd w:val="0"/>
              <w:snapToGrid w:val="0"/>
              <w:spacing w:line="360" w:lineRule="auto"/>
              <w:rPr>
                <w:rFonts w:ascii="宋体"/>
                <w:color w:val="auto"/>
                <w:lang w:val="en-GB"/>
              </w:rPr>
            </w:pPr>
            <w:r>
              <w:rPr>
                <w:rFonts w:ascii="宋体"/>
                <w:color w:val="auto"/>
                <w:lang w:val="en-GB"/>
              </w:rPr>
              <w:t>1</w:t>
            </w:r>
          </w:p>
        </w:tc>
        <w:tc>
          <w:tcPr>
            <w:tcW w:w="1285" w:type="pct"/>
            <w:vAlign w:val="center"/>
          </w:tcPr>
          <w:p w14:paraId="5AEBABC2">
            <w:pPr>
              <w:pStyle w:val="20"/>
              <w:widowControl w:val="0"/>
              <w:adjustRightInd w:val="0"/>
              <w:snapToGrid w:val="0"/>
              <w:spacing w:line="360" w:lineRule="auto"/>
              <w:rPr>
                <w:rFonts w:ascii="宋体"/>
                <w:color w:val="auto"/>
                <w:lang w:val="en-GB"/>
              </w:rPr>
            </w:pPr>
            <w:r>
              <w:rPr>
                <w:rFonts w:ascii="宋体"/>
                <w:color w:val="auto"/>
                <w:lang w:val="en-GB"/>
              </w:rPr>
              <w:t>安全管理单元</w:t>
            </w:r>
          </w:p>
        </w:tc>
        <w:tc>
          <w:tcPr>
            <w:tcW w:w="1196" w:type="pct"/>
            <w:vAlign w:val="center"/>
          </w:tcPr>
          <w:p w14:paraId="1E291D00">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2A4A5594">
            <w:pPr>
              <w:pStyle w:val="20"/>
              <w:widowControl w:val="0"/>
              <w:adjustRightInd w:val="0"/>
              <w:snapToGrid w:val="0"/>
              <w:spacing w:line="360" w:lineRule="auto"/>
              <w:rPr>
                <w:rFonts w:ascii="宋体"/>
                <w:color w:val="auto"/>
              </w:rPr>
            </w:pPr>
          </w:p>
        </w:tc>
        <w:tc>
          <w:tcPr>
            <w:tcW w:w="972" w:type="pct"/>
            <w:vAlign w:val="center"/>
          </w:tcPr>
          <w:p w14:paraId="00C1DAAC">
            <w:pPr>
              <w:pStyle w:val="20"/>
              <w:widowControl w:val="0"/>
              <w:adjustRightInd w:val="0"/>
              <w:snapToGrid w:val="0"/>
              <w:spacing w:line="360" w:lineRule="auto"/>
              <w:rPr>
                <w:rFonts w:ascii="宋体"/>
                <w:color w:val="auto"/>
              </w:rPr>
            </w:pPr>
          </w:p>
        </w:tc>
      </w:tr>
      <w:tr w14:paraId="76973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0A4AADEA">
            <w:pPr>
              <w:pStyle w:val="20"/>
              <w:widowControl w:val="0"/>
              <w:adjustRightInd w:val="0"/>
              <w:snapToGrid w:val="0"/>
              <w:spacing w:line="360" w:lineRule="auto"/>
              <w:rPr>
                <w:rFonts w:ascii="宋体"/>
                <w:color w:val="auto"/>
                <w:lang w:val="en-GB"/>
              </w:rPr>
            </w:pPr>
            <w:r>
              <w:rPr>
                <w:rFonts w:ascii="宋体"/>
                <w:color w:val="auto"/>
                <w:lang w:val="en-GB"/>
              </w:rPr>
              <w:t>2</w:t>
            </w:r>
          </w:p>
        </w:tc>
        <w:tc>
          <w:tcPr>
            <w:tcW w:w="1285" w:type="pct"/>
            <w:vAlign w:val="center"/>
          </w:tcPr>
          <w:p w14:paraId="6DFEA469">
            <w:pPr>
              <w:pStyle w:val="20"/>
              <w:widowControl w:val="0"/>
              <w:adjustRightInd w:val="0"/>
              <w:snapToGrid w:val="0"/>
              <w:spacing w:line="360" w:lineRule="auto"/>
              <w:rPr>
                <w:rFonts w:ascii="宋体"/>
                <w:color w:val="auto"/>
                <w:lang w:val="en-GB"/>
              </w:rPr>
            </w:pPr>
            <w:r>
              <w:rPr>
                <w:rFonts w:ascii="宋体"/>
                <w:color w:val="auto"/>
                <w:lang w:val="en-GB"/>
              </w:rPr>
              <w:t>站址选择及总平面布置</w:t>
            </w:r>
          </w:p>
        </w:tc>
        <w:tc>
          <w:tcPr>
            <w:tcW w:w="1196" w:type="pct"/>
            <w:vAlign w:val="center"/>
          </w:tcPr>
          <w:p w14:paraId="5CF653C1">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70F8023B">
            <w:pPr>
              <w:pStyle w:val="20"/>
              <w:widowControl w:val="0"/>
              <w:adjustRightInd w:val="0"/>
              <w:snapToGrid w:val="0"/>
              <w:spacing w:line="360" w:lineRule="auto"/>
              <w:rPr>
                <w:rFonts w:ascii="宋体"/>
                <w:color w:val="auto"/>
              </w:rPr>
            </w:pPr>
          </w:p>
        </w:tc>
        <w:tc>
          <w:tcPr>
            <w:tcW w:w="972" w:type="pct"/>
            <w:vAlign w:val="center"/>
          </w:tcPr>
          <w:p w14:paraId="757A7995">
            <w:pPr>
              <w:pStyle w:val="20"/>
              <w:widowControl w:val="0"/>
              <w:adjustRightInd w:val="0"/>
              <w:snapToGrid w:val="0"/>
              <w:spacing w:line="360" w:lineRule="auto"/>
              <w:rPr>
                <w:rFonts w:ascii="宋体"/>
                <w:color w:val="auto"/>
              </w:rPr>
            </w:pPr>
          </w:p>
        </w:tc>
      </w:tr>
      <w:tr w14:paraId="62F83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21EE35C5">
            <w:pPr>
              <w:pStyle w:val="20"/>
              <w:widowControl w:val="0"/>
              <w:adjustRightInd w:val="0"/>
              <w:snapToGrid w:val="0"/>
              <w:spacing w:line="360" w:lineRule="auto"/>
              <w:rPr>
                <w:rFonts w:ascii="宋体"/>
                <w:color w:val="auto"/>
                <w:lang w:val="en-GB"/>
              </w:rPr>
            </w:pPr>
            <w:r>
              <w:rPr>
                <w:rFonts w:ascii="宋体"/>
                <w:color w:val="auto"/>
                <w:lang w:val="en-GB"/>
              </w:rPr>
              <w:t>3</w:t>
            </w:r>
          </w:p>
        </w:tc>
        <w:tc>
          <w:tcPr>
            <w:tcW w:w="1285" w:type="pct"/>
            <w:vAlign w:val="center"/>
          </w:tcPr>
          <w:p w14:paraId="4A918E6C">
            <w:pPr>
              <w:pStyle w:val="20"/>
              <w:widowControl w:val="0"/>
              <w:adjustRightInd w:val="0"/>
              <w:snapToGrid w:val="0"/>
              <w:spacing w:line="360" w:lineRule="auto"/>
              <w:rPr>
                <w:rFonts w:ascii="宋体"/>
                <w:color w:val="auto"/>
                <w:lang w:val="en-GB"/>
              </w:rPr>
            </w:pPr>
            <w:r>
              <w:rPr>
                <w:rFonts w:ascii="宋体"/>
                <w:color w:val="auto"/>
                <w:lang w:val="en-GB"/>
              </w:rPr>
              <w:t>加油工艺及设施</w:t>
            </w:r>
          </w:p>
        </w:tc>
        <w:tc>
          <w:tcPr>
            <w:tcW w:w="1196" w:type="pct"/>
            <w:vAlign w:val="center"/>
          </w:tcPr>
          <w:p w14:paraId="4D11A67E">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92D00C6">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972" w:type="pct"/>
            <w:vAlign w:val="center"/>
          </w:tcPr>
          <w:p w14:paraId="0E836CF9">
            <w:pPr>
              <w:pStyle w:val="20"/>
              <w:widowControl w:val="0"/>
              <w:adjustRightInd w:val="0"/>
              <w:snapToGrid w:val="0"/>
              <w:spacing w:line="360" w:lineRule="auto"/>
              <w:rPr>
                <w:rFonts w:ascii="宋体"/>
                <w:color w:val="auto"/>
              </w:rPr>
            </w:pPr>
            <w:r>
              <w:rPr>
                <w:rFonts w:hint="eastAsia" w:ascii="宋体" w:hAnsi="宋体" w:cs="宋体"/>
                <w:color w:val="auto"/>
              </w:rPr>
              <w:t>★</w:t>
            </w:r>
          </w:p>
        </w:tc>
      </w:tr>
      <w:tr w14:paraId="033D5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6CB1BBD">
            <w:pPr>
              <w:pStyle w:val="20"/>
              <w:widowControl w:val="0"/>
              <w:adjustRightInd w:val="0"/>
              <w:snapToGrid w:val="0"/>
              <w:spacing w:line="360" w:lineRule="auto"/>
              <w:rPr>
                <w:rFonts w:ascii="宋体"/>
                <w:color w:val="auto"/>
                <w:lang w:val="en-GB"/>
              </w:rPr>
            </w:pPr>
            <w:r>
              <w:rPr>
                <w:rFonts w:ascii="宋体"/>
                <w:color w:val="auto"/>
                <w:lang w:val="en-GB"/>
              </w:rPr>
              <w:t>4</w:t>
            </w:r>
          </w:p>
        </w:tc>
        <w:tc>
          <w:tcPr>
            <w:tcW w:w="1285" w:type="pct"/>
            <w:vAlign w:val="center"/>
          </w:tcPr>
          <w:p w14:paraId="18F40D56">
            <w:pPr>
              <w:pStyle w:val="20"/>
              <w:widowControl w:val="0"/>
              <w:adjustRightInd w:val="0"/>
              <w:snapToGrid w:val="0"/>
              <w:spacing w:line="360" w:lineRule="auto"/>
              <w:rPr>
                <w:rFonts w:ascii="宋体"/>
                <w:color w:val="auto"/>
                <w:lang w:val="en-GB"/>
              </w:rPr>
            </w:pPr>
            <w:r>
              <w:rPr>
                <w:rFonts w:ascii="宋体"/>
                <w:color w:val="auto"/>
                <w:lang w:val="en-GB"/>
              </w:rPr>
              <w:t>其它安全设施</w:t>
            </w:r>
          </w:p>
        </w:tc>
        <w:tc>
          <w:tcPr>
            <w:tcW w:w="1196" w:type="pct"/>
            <w:vAlign w:val="center"/>
          </w:tcPr>
          <w:p w14:paraId="65B05064">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808F65A">
            <w:pPr>
              <w:pStyle w:val="20"/>
              <w:widowControl w:val="0"/>
              <w:adjustRightInd w:val="0"/>
              <w:snapToGrid w:val="0"/>
              <w:spacing w:line="360" w:lineRule="auto"/>
              <w:rPr>
                <w:rFonts w:ascii="宋体"/>
                <w:color w:val="auto"/>
              </w:rPr>
            </w:pPr>
          </w:p>
        </w:tc>
        <w:tc>
          <w:tcPr>
            <w:tcW w:w="972" w:type="pct"/>
            <w:vAlign w:val="center"/>
          </w:tcPr>
          <w:p w14:paraId="4ADFB55C">
            <w:pPr>
              <w:pStyle w:val="20"/>
              <w:widowControl w:val="0"/>
              <w:adjustRightInd w:val="0"/>
              <w:snapToGrid w:val="0"/>
              <w:spacing w:line="360" w:lineRule="auto"/>
              <w:rPr>
                <w:rFonts w:ascii="宋体"/>
                <w:color w:val="auto"/>
              </w:rPr>
            </w:pPr>
          </w:p>
        </w:tc>
      </w:tr>
    </w:tbl>
    <w:p w14:paraId="63FFFE3C">
      <w:pPr>
        <w:pStyle w:val="17"/>
        <w:widowControl w:val="0"/>
        <w:spacing w:line="360" w:lineRule="auto"/>
        <w:ind w:firstLine="420"/>
        <w:rPr>
          <w:rFonts w:ascii="宋体"/>
          <w:color w:val="auto"/>
        </w:rPr>
      </w:pPr>
      <w:r>
        <w:rPr>
          <w:rFonts w:ascii="黑体" w:hAnsi="黑体" w:eastAsia="黑体"/>
          <w:color w:val="auto"/>
          <w:sz w:val="21"/>
          <w:szCs w:val="21"/>
          <w:u w:color="000000"/>
        </w:rPr>
        <w:t>注：表中“★”表示采用的评价方法。</w:t>
      </w:r>
    </w:p>
    <w:p w14:paraId="6EC93C82">
      <w:pPr>
        <w:pStyle w:val="21"/>
        <w:widowControl w:val="0"/>
        <w:snapToGrid w:val="0"/>
        <w:spacing w:line="360" w:lineRule="auto"/>
        <w:ind w:firstLine="872" w:firstLineChars="400"/>
        <w:rPr>
          <w:color w:val="auto"/>
        </w:rPr>
      </w:pPr>
    </w:p>
    <w:p w14:paraId="350AD652">
      <w:pPr>
        <w:pStyle w:val="18"/>
        <w:widowControl w:val="0"/>
        <w:adjustRightInd w:val="0"/>
        <w:snapToGrid w:val="0"/>
        <w:spacing w:before="468" w:beforeLines="150" w:after="156" w:afterLines="50" w:line="360" w:lineRule="auto"/>
        <w:rPr>
          <w:color w:val="auto"/>
        </w:rPr>
      </w:pPr>
      <w:bookmarkStart w:id="35" w:name="_Toc102633988"/>
      <w:bookmarkStart w:id="36" w:name="_Toc9894"/>
      <w:bookmarkStart w:id="37" w:name="_Toc15033761"/>
      <w:bookmarkStart w:id="38" w:name="_Toc102634276"/>
      <w:bookmarkStart w:id="39" w:name="_Toc16504"/>
      <w:bookmarkStart w:id="40" w:name="_Toc102633914"/>
      <w:r>
        <w:rPr>
          <w:color w:val="auto"/>
        </w:rPr>
        <w:t>第六章  安全对策措施及建议</w:t>
      </w:r>
      <w:bookmarkEnd w:id="35"/>
      <w:bookmarkEnd w:id="36"/>
      <w:bookmarkEnd w:id="37"/>
      <w:bookmarkEnd w:id="38"/>
      <w:bookmarkEnd w:id="39"/>
      <w:bookmarkEnd w:id="40"/>
    </w:p>
    <w:p w14:paraId="7BCCE06D">
      <w:pPr>
        <w:snapToGrid w:val="0"/>
        <w:spacing w:before="120" w:after="120" w:line="560" w:lineRule="exact"/>
        <w:jc w:val="center"/>
        <w:outlineLvl w:val="1"/>
        <w:rPr>
          <w:rFonts w:ascii="Calibri" w:hAnsi="Calibri" w:eastAsia="楷体_GB2312"/>
          <w:b/>
          <w:color w:val="auto"/>
          <w:kern w:val="0"/>
          <w:sz w:val="32"/>
          <w:szCs w:val="20"/>
        </w:rPr>
      </w:pPr>
      <w:bookmarkStart w:id="41" w:name="_Toc225046264"/>
      <w:bookmarkStart w:id="42" w:name="_Toc339456079"/>
      <w:bookmarkStart w:id="43" w:name="_Toc348877039"/>
      <w:bookmarkStart w:id="44" w:name="_Toc242065302"/>
      <w:bookmarkStart w:id="45" w:name="_Toc102633915"/>
      <w:bookmarkStart w:id="46" w:name="_Toc15033762"/>
      <w:bookmarkStart w:id="47" w:name="_Toc4961"/>
      <w:bookmarkStart w:id="48" w:name="_Toc102634277"/>
      <w:bookmarkStart w:id="49" w:name="_Toc102633989"/>
      <w:bookmarkStart w:id="50" w:name="_Toc17772"/>
      <w:r>
        <w:rPr>
          <w:rFonts w:ascii="Calibri" w:hAnsi="Calibri" w:eastAsia="楷体_GB2312"/>
          <w:b/>
          <w:color w:val="auto"/>
          <w:kern w:val="0"/>
          <w:sz w:val="32"/>
          <w:szCs w:val="20"/>
        </w:rPr>
        <w:t xml:space="preserve">第一节 </w:t>
      </w:r>
      <w:bookmarkEnd w:id="41"/>
      <w:bookmarkEnd w:id="42"/>
      <w:r>
        <w:rPr>
          <w:rFonts w:ascii="Calibri" w:hAnsi="Calibri" w:eastAsia="楷体_GB2312"/>
          <w:b/>
          <w:color w:val="auto"/>
          <w:kern w:val="0"/>
          <w:sz w:val="32"/>
          <w:szCs w:val="20"/>
        </w:rPr>
        <w:t>存在的问题及整改建议</w:t>
      </w:r>
      <w:bookmarkEnd w:id="43"/>
      <w:bookmarkEnd w:id="44"/>
      <w:bookmarkEnd w:id="45"/>
      <w:bookmarkEnd w:id="46"/>
      <w:bookmarkEnd w:id="47"/>
      <w:bookmarkEnd w:id="48"/>
      <w:bookmarkEnd w:id="49"/>
      <w:bookmarkEnd w:id="50"/>
    </w:p>
    <w:p w14:paraId="7DCAB13A">
      <w:pPr>
        <w:adjustRightInd w:val="0"/>
        <w:snapToGrid w:val="0"/>
        <w:spacing w:line="360" w:lineRule="auto"/>
        <w:ind w:firstLine="560" w:firstLineChars="200"/>
        <w:rPr>
          <w:rFonts w:ascii="宋体"/>
          <w:color w:val="auto"/>
          <w:kern w:val="0"/>
          <w:sz w:val="28"/>
          <w:szCs w:val="20"/>
        </w:rPr>
      </w:pPr>
      <w:bookmarkStart w:id="51" w:name="_Toc49590281"/>
      <w:bookmarkStart w:id="52" w:name="_Toc15033763"/>
      <w:r>
        <w:rPr>
          <w:rFonts w:ascii="宋体"/>
          <w:color w:val="auto"/>
          <w:kern w:val="0"/>
          <w:sz w:val="28"/>
          <w:szCs w:val="20"/>
        </w:rPr>
        <w:t>通过现场检查和审查有关资料</w:t>
      </w:r>
      <w:r>
        <w:rPr>
          <w:rFonts w:hint="eastAsia" w:ascii="宋体"/>
          <w:color w:val="auto"/>
          <w:kern w:val="0"/>
          <w:sz w:val="28"/>
          <w:szCs w:val="20"/>
        </w:rPr>
        <w:t>可以看出，该加油站存在问题如下：</w:t>
      </w:r>
    </w:p>
    <w:bookmarkEnd w:id="51"/>
    <w:bookmarkEnd w:id="52"/>
    <w:p w14:paraId="63FDF32E">
      <w:pPr>
        <w:widowControl/>
        <w:spacing w:line="360" w:lineRule="auto"/>
        <w:jc w:val="center"/>
        <w:textAlignment w:val="baseline"/>
        <w:rPr>
          <w:rFonts w:eastAsia="黑体"/>
          <w:color w:val="auto"/>
          <w:kern w:val="0"/>
          <w:sz w:val="24"/>
          <w:szCs w:val="24"/>
          <w:u w:color="000000"/>
        </w:rPr>
      </w:pPr>
      <w:r>
        <w:rPr>
          <w:rFonts w:hint="eastAsia" w:ascii="黑体" w:hAnsi="黑体" w:eastAsia="黑体" w:cs="黑体"/>
          <w:color w:val="auto"/>
          <w:kern w:val="0"/>
          <w:sz w:val="24"/>
          <w:szCs w:val="24"/>
          <w:u w:color="000000"/>
        </w:rPr>
        <w:t>表6.1-1</w:t>
      </w:r>
      <w:r>
        <w:rPr>
          <w:rFonts w:hint="eastAsia" w:eastAsia="黑体"/>
          <w:color w:val="auto"/>
          <w:kern w:val="0"/>
          <w:sz w:val="24"/>
          <w:szCs w:val="24"/>
          <w:u w:color="000000"/>
        </w:rPr>
        <w:t xml:space="preserve">  现场存在问题表</w:t>
      </w:r>
    </w:p>
    <w:tbl>
      <w:tblPr>
        <w:tblStyle w:val="9"/>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4157"/>
        <w:gridCol w:w="4428"/>
      </w:tblGrid>
      <w:tr w14:paraId="1E0EDD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817" w:type="dxa"/>
            <w:vAlign w:val="center"/>
          </w:tcPr>
          <w:p w14:paraId="20672852">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序号</w:t>
            </w:r>
          </w:p>
        </w:tc>
        <w:tc>
          <w:tcPr>
            <w:tcW w:w="4157" w:type="dxa"/>
            <w:vAlign w:val="center"/>
          </w:tcPr>
          <w:p w14:paraId="308287E3">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企业存在的问题</w:t>
            </w:r>
          </w:p>
        </w:tc>
        <w:tc>
          <w:tcPr>
            <w:tcW w:w="4428" w:type="dxa"/>
            <w:vAlign w:val="center"/>
          </w:tcPr>
          <w:p w14:paraId="1AA3EEDA">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整改建议措施</w:t>
            </w:r>
          </w:p>
        </w:tc>
      </w:tr>
      <w:tr w14:paraId="350391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817" w:type="dxa"/>
            <w:vAlign w:val="center"/>
          </w:tcPr>
          <w:p w14:paraId="3B51ED07">
            <w:pPr>
              <w:widowControl/>
              <w:tabs>
                <w:tab w:val="left" w:pos="6120"/>
              </w:tabs>
              <w:adjustRightInd w:val="0"/>
              <w:spacing w:before="31" w:beforeLines="10" w:after="31" w:afterLines="10" w:line="320" w:lineRule="exact"/>
              <w:jc w:val="center"/>
              <w:textAlignment w:val="baseline"/>
              <w:rPr>
                <w:rFonts w:ascii="宋体" w:hAnsi="宋体"/>
                <w:bCs/>
                <w:color w:val="auto"/>
                <w:kern w:val="0"/>
                <w:position w:val="2"/>
                <w:u w:color="000000"/>
              </w:rPr>
            </w:pPr>
            <w:r>
              <w:rPr>
                <w:rFonts w:hint="eastAsia" w:ascii="宋体" w:hAnsi="宋体"/>
                <w:bCs/>
                <w:color w:val="auto"/>
                <w:kern w:val="0"/>
                <w:position w:val="2"/>
                <w:u w:color="000000"/>
              </w:rPr>
              <w:t>1</w:t>
            </w:r>
          </w:p>
        </w:tc>
        <w:tc>
          <w:tcPr>
            <w:tcW w:w="4157" w:type="dxa"/>
            <w:vAlign w:val="center"/>
          </w:tcPr>
          <w:p w14:paraId="50FEE921">
            <w:pPr>
              <w:jc w:val="center"/>
              <w:rPr>
                <w:rFonts w:hint="eastAsia" w:ascii="宋体" w:hAnsi="宋体" w:cs="宋体"/>
                <w:bCs/>
                <w:color w:val="auto"/>
              </w:rPr>
            </w:pPr>
            <w:r>
              <w:rPr>
                <w:rFonts w:hint="eastAsia" w:ascii="宋体" w:hAnsi="宋体"/>
                <w:color w:val="auto"/>
              </w:rPr>
              <w:t>无</w:t>
            </w:r>
          </w:p>
        </w:tc>
        <w:tc>
          <w:tcPr>
            <w:tcW w:w="4428" w:type="dxa"/>
            <w:vAlign w:val="center"/>
          </w:tcPr>
          <w:p w14:paraId="5E426AAF">
            <w:pPr>
              <w:jc w:val="center"/>
              <w:rPr>
                <w:rFonts w:hint="eastAsia" w:ascii="宋体" w:hAnsi="宋体" w:cs="宋体"/>
                <w:bCs/>
                <w:color w:val="auto"/>
                <w:lang w:eastAsia="zh-CN"/>
              </w:rPr>
            </w:pPr>
            <w:r>
              <w:rPr>
                <w:rFonts w:hint="eastAsia"/>
                <w:color w:val="auto"/>
                <w:u w:color="000000"/>
              </w:rPr>
              <w:t>无</w:t>
            </w:r>
          </w:p>
        </w:tc>
      </w:tr>
    </w:tbl>
    <w:p w14:paraId="6214C4F2">
      <w:pPr>
        <w:tabs>
          <w:tab w:val="left" w:pos="698"/>
        </w:tabs>
        <w:ind w:firstLine="560" w:firstLineChars="200"/>
        <w:jc w:val="left"/>
        <w:rPr>
          <w:color w:val="auto"/>
          <w:kern w:val="0"/>
          <w:sz w:val="28"/>
          <w:szCs w:val="20"/>
          <w:highlight w:val="none"/>
        </w:rPr>
        <w:sectPr>
          <w:pgSz w:w="11906" w:h="16838"/>
          <w:pgMar w:top="1418" w:right="1134" w:bottom="993" w:left="1588" w:header="850" w:footer="256" w:gutter="0"/>
          <w:cols w:space="720" w:num="1"/>
          <w:docGrid w:type="lines" w:linePitch="312" w:charSpace="0"/>
        </w:sectPr>
      </w:pPr>
      <w:r>
        <w:rPr>
          <w:rFonts w:hint="eastAsia" w:ascii="宋体"/>
          <w:color w:val="auto"/>
          <w:kern w:val="0"/>
          <w:sz w:val="28"/>
          <w:szCs w:val="20"/>
        </w:rPr>
        <w:t>该加油站在安全管理、站址选择及总平面布置、加油工艺及设施、其它设施等方面符合有关法律、标准规范的要求</w:t>
      </w:r>
      <w:r>
        <w:rPr>
          <w:rFonts w:hint="eastAsia" w:ascii="宋体"/>
          <w:color w:val="auto"/>
          <w:kern w:val="0"/>
          <w:sz w:val="28"/>
          <w:szCs w:val="20"/>
          <w:highlight w:val="none"/>
        </w:rPr>
        <w:t>。</w:t>
      </w:r>
    </w:p>
    <w:p w14:paraId="1C7EA132">
      <w:pPr>
        <w:rPr>
          <w:rFonts w:hint="default" w:ascii="宋体"/>
          <w:color w:val="auto"/>
          <w:kern w:val="0"/>
          <w:sz w:val="28"/>
          <w:szCs w:val="20"/>
          <w:lang w:val="en-US" w:eastAsia="zh-CN"/>
        </w:rPr>
      </w:pPr>
      <w:r>
        <w:rPr>
          <w:rFonts w:hint="default" w:ascii="宋体"/>
          <w:color w:val="auto"/>
          <w:kern w:val="0"/>
          <w:sz w:val="28"/>
          <w:szCs w:val="20"/>
          <w:lang w:val="en-US" w:eastAsia="zh-CN"/>
        </w:rPr>
        <w:drawing>
          <wp:inline distT="0" distB="0" distL="114300" distR="114300">
            <wp:extent cx="5397500" cy="4048125"/>
            <wp:effectExtent l="0" t="0" r="12700" b="5715"/>
            <wp:docPr id="6" name="图片 6" descr="IMG_20260623_14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60623_145739"/>
                    <pic:cNvPicPr>
                      <a:picLocks noChangeAspect="1"/>
                    </pic:cNvPicPr>
                  </pic:nvPicPr>
                  <pic:blipFill>
                    <a:blip r:embed="rId4"/>
                    <a:stretch>
                      <a:fillRect/>
                    </a:stretch>
                  </pic:blipFill>
                  <pic:spPr>
                    <a:xfrm>
                      <a:off x="0" y="0"/>
                      <a:ext cx="5397500" cy="4048125"/>
                    </a:xfrm>
                    <a:prstGeom prst="rect">
                      <a:avLst/>
                    </a:prstGeom>
                  </pic:spPr>
                </pic:pic>
              </a:graphicData>
            </a:graphic>
          </wp:inline>
        </w:drawing>
      </w:r>
    </w:p>
    <w:p w14:paraId="32A6CD21">
      <w:pPr>
        <w:bidi w:val="0"/>
        <w:rPr>
          <w:rFonts w:hint="default"/>
          <w:lang w:val="en-US" w:eastAsia="zh-CN"/>
        </w:rPr>
      </w:pPr>
      <w:r>
        <w:rPr>
          <w:rFonts w:hint="default"/>
          <w:lang w:val="en-US" w:eastAsia="zh-CN"/>
        </w:rPr>
        <w:drawing>
          <wp:inline distT="0" distB="0" distL="114300" distR="114300">
            <wp:extent cx="5425440" cy="4069080"/>
            <wp:effectExtent l="0" t="0" r="0" b="0"/>
            <wp:docPr id="7" name="图片 7" descr="IMG_20260623_14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623_145834"/>
                    <pic:cNvPicPr>
                      <a:picLocks noChangeAspect="1"/>
                    </pic:cNvPicPr>
                  </pic:nvPicPr>
                  <pic:blipFill>
                    <a:blip r:embed="rId5"/>
                    <a:stretch>
                      <a:fillRect/>
                    </a:stretch>
                  </pic:blipFill>
                  <pic:spPr>
                    <a:xfrm>
                      <a:off x="0" y="0"/>
                      <a:ext cx="5425440" cy="4069080"/>
                    </a:xfrm>
                    <a:prstGeom prst="rect">
                      <a:avLst/>
                    </a:prstGeom>
                  </pic:spPr>
                </pic:pic>
              </a:graphicData>
            </a:graphic>
          </wp:inline>
        </w:drawing>
      </w:r>
    </w:p>
    <w:p w14:paraId="5382A143">
      <w:pPr>
        <w:bidi w:val="0"/>
        <w:rPr>
          <w:rFonts w:hint="default"/>
          <w:lang w:val="en-US" w:eastAsia="zh-CN"/>
        </w:rPr>
      </w:pPr>
    </w:p>
    <w:p w14:paraId="2BB7FD4B">
      <w:pPr>
        <w:bidi w:val="0"/>
        <w:rPr>
          <w:rFonts w:hint="default"/>
          <w:lang w:val="en-US" w:eastAsia="zh-CN"/>
        </w:rPr>
      </w:pPr>
    </w:p>
    <w:p w14:paraId="61A508EF">
      <w:pPr>
        <w:bidi w:val="0"/>
        <w:rPr>
          <w:rFonts w:hint="default"/>
          <w:lang w:val="en-US" w:eastAsia="zh-CN"/>
        </w:rPr>
      </w:pPr>
      <w:r>
        <w:rPr>
          <w:rFonts w:hint="default"/>
          <w:lang w:val="en-US" w:eastAsia="zh-CN"/>
        </w:rPr>
        <w:drawing>
          <wp:inline distT="0" distB="0" distL="114300" distR="114300">
            <wp:extent cx="4166235" cy="6076315"/>
            <wp:effectExtent l="0" t="0" r="9525" b="4445"/>
            <wp:docPr id="8" name="图片 8" descr="4a0d75f7d05c0940f261743cfe64dc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a0d75f7d05c0940f261743cfe64dcfa"/>
                    <pic:cNvPicPr>
                      <a:picLocks noChangeAspect="1"/>
                    </pic:cNvPicPr>
                  </pic:nvPicPr>
                  <pic:blipFill>
                    <a:blip r:embed="rId6"/>
                    <a:srcRect l="8275" t="20715" r="8326" b="10862"/>
                    <a:stretch>
                      <a:fillRect/>
                    </a:stretch>
                  </pic:blipFill>
                  <pic:spPr>
                    <a:xfrm>
                      <a:off x="0" y="0"/>
                      <a:ext cx="4166235" cy="6076315"/>
                    </a:xfrm>
                    <a:prstGeom prst="rect">
                      <a:avLst/>
                    </a:prstGeom>
                  </pic:spPr>
                </pic:pic>
              </a:graphicData>
            </a:graphic>
          </wp:inline>
        </w:drawing>
      </w:r>
      <w:r>
        <w:rPr>
          <w:rFonts w:hint="default"/>
          <w:lang w:val="en-US" w:eastAsia="zh-CN"/>
        </w:rPr>
        <w:drawing>
          <wp:inline distT="0" distB="0" distL="114300" distR="114300">
            <wp:extent cx="4362450" cy="6792595"/>
            <wp:effectExtent l="0" t="0" r="11430" b="4445"/>
            <wp:docPr id="9" name="图片 9" descr="467966dd70df704a30ae6be3c3bda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67966dd70df704a30ae6be3c3bda610"/>
                    <pic:cNvPicPr>
                      <a:picLocks noChangeAspect="1"/>
                    </pic:cNvPicPr>
                  </pic:nvPicPr>
                  <pic:blipFill>
                    <a:blip r:embed="rId7"/>
                    <a:srcRect l="2174" t="18484" r="10500" b="5027"/>
                    <a:stretch>
                      <a:fillRect/>
                    </a:stretch>
                  </pic:blipFill>
                  <pic:spPr>
                    <a:xfrm>
                      <a:off x="0" y="0"/>
                      <a:ext cx="4362450" cy="6792595"/>
                    </a:xfrm>
                    <a:prstGeom prst="rect">
                      <a:avLst/>
                    </a:prstGeom>
                  </pic:spPr>
                </pic:pic>
              </a:graphicData>
            </a:graphic>
          </wp:inline>
        </w:drawing>
      </w:r>
    </w:p>
    <w:p w14:paraId="71F9E8CE">
      <w:pPr>
        <w:bidi w:val="0"/>
        <w:rPr>
          <w:rFonts w:hint="default"/>
          <w:lang w:val="en-US" w:eastAsia="zh-CN"/>
        </w:rPr>
      </w:pPr>
      <w:r>
        <w:rPr>
          <w:rFonts w:hint="default"/>
          <w:lang w:val="en-US" w:eastAsia="zh-CN"/>
        </w:rPr>
        <w:drawing>
          <wp:inline distT="0" distB="0" distL="114300" distR="114300">
            <wp:extent cx="4642485" cy="6651625"/>
            <wp:effectExtent l="0" t="0" r="5715" b="8255"/>
            <wp:docPr id="10" name="图片 10" descr="bd0bb227e939da98bf434d22c46166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d0bb227e939da98bf434d22c46166e5"/>
                    <pic:cNvPicPr>
                      <a:picLocks noChangeAspect="1"/>
                    </pic:cNvPicPr>
                  </pic:nvPicPr>
                  <pic:blipFill>
                    <a:blip r:embed="rId8"/>
                    <a:srcRect t="15395" r="7067" b="9703"/>
                    <a:stretch>
                      <a:fillRect/>
                    </a:stretch>
                  </pic:blipFill>
                  <pic:spPr>
                    <a:xfrm>
                      <a:off x="0" y="0"/>
                      <a:ext cx="4642485" cy="6651625"/>
                    </a:xfrm>
                    <a:prstGeom prst="rect">
                      <a:avLst/>
                    </a:prstGeom>
                  </pic:spPr>
                </pic:pic>
              </a:graphicData>
            </a:graphic>
          </wp:inline>
        </w:drawing>
      </w:r>
      <w:r>
        <w:rPr>
          <w:rFonts w:hint="default"/>
          <w:lang w:val="en-US" w:eastAsia="zh-CN"/>
        </w:rPr>
        <w:drawing>
          <wp:inline distT="0" distB="0" distL="114300" distR="114300">
            <wp:extent cx="4528185" cy="7464425"/>
            <wp:effectExtent l="0" t="0" r="13335" b="3175"/>
            <wp:docPr id="11" name="图片 11" descr="05a445dce7ad2001f002d02ed49b2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5a445dce7ad2001f002d02ed49b2df0"/>
                    <pic:cNvPicPr>
                      <a:picLocks noChangeAspect="1"/>
                    </pic:cNvPicPr>
                  </pic:nvPicPr>
                  <pic:blipFill>
                    <a:blip r:embed="rId9"/>
                    <a:srcRect l="2934" t="10431" r="6491" b="5587"/>
                    <a:stretch>
                      <a:fillRect/>
                    </a:stretch>
                  </pic:blipFill>
                  <pic:spPr>
                    <a:xfrm>
                      <a:off x="0" y="0"/>
                      <a:ext cx="4528185" cy="7464425"/>
                    </a:xfrm>
                    <a:prstGeom prst="rect">
                      <a:avLst/>
                    </a:prstGeom>
                  </pic:spPr>
                </pic:pic>
              </a:graphicData>
            </a:graphic>
          </wp:inline>
        </w:drawing>
      </w:r>
      <w:r>
        <w:rPr>
          <w:rFonts w:hint="default"/>
          <w:lang w:val="en-US" w:eastAsia="zh-CN"/>
        </w:rPr>
        <w:drawing>
          <wp:inline distT="0" distB="0" distL="114300" distR="114300">
            <wp:extent cx="4629150" cy="7346315"/>
            <wp:effectExtent l="0" t="0" r="3810" b="14605"/>
            <wp:docPr id="12" name="图片 12" descr="aabfda90e7dbe78083a210907d23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abfda90e7dbe78083a210907d236924"/>
                    <pic:cNvPicPr>
                      <a:picLocks noChangeAspect="1"/>
                    </pic:cNvPicPr>
                  </pic:nvPicPr>
                  <pic:blipFill>
                    <a:blip r:embed="rId10"/>
                    <a:srcRect l="1411" t="10268" r="5923" b="7008"/>
                    <a:stretch>
                      <a:fillRect/>
                    </a:stretch>
                  </pic:blipFill>
                  <pic:spPr>
                    <a:xfrm>
                      <a:off x="0" y="0"/>
                      <a:ext cx="4629150" cy="7346315"/>
                    </a:xfrm>
                    <a:prstGeom prst="rect">
                      <a:avLst/>
                    </a:prstGeom>
                  </pic:spPr>
                </pic:pic>
              </a:graphicData>
            </a:graphic>
          </wp:inline>
        </w:drawing>
      </w:r>
      <w:bookmarkStart w:id="53" w:name="_GoBack"/>
      <w:bookmarkEnd w:id="53"/>
      <w:r>
        <w:rPr>
          <w:rFonts w:hint="default"/>
          <w:lang w:val="en-US" w:eastAsia="zh-CN"/>
        </w:rPr>
        <w:drawing>
          <wp:inline distT="0" distB="0" distL="114300" distR="114300">
            <wp:extent cx="4813935" cy="7054215"/>
            <wp:effectExtent l="0" t="0" r="1905" b="1905"/>
            <wp:docPr id="13" name="图片 13" descr="8b29e142c552a114d1b79dcf7b1e98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b29e142c552a114d1b79dcf7b1e98fc"/>
                    <pic:cNvPicPr>
                      <a:picLocks noChangeAspect="1"/>
                    </pic:cNvPicPr>
                  </pic:nvPicPr>
                  <pic:blipFill>
                    <a:blip r:embed="rId11"/>
                    <a:srcRect t="12152" r="3660" b="8442"/>
                    <a:stretch>
                      <a:fillRect/>
                    </a:stretch>
                  </pic:blipFill>
                  <pic:spPr>
                    <a:xfrm>
                      <a:off x="0" y="0"/>
                      <a:ext cx="4813935" cy="7054215"/>
                    </a:xfrm>
                    <a:prstGeom prst="rect">
                      <a:avLst/>
                    </a:prstGeom>
                  </pic:spPr>
                </pic:pic>
              </a:graphicData>
            </a:graphic>
          </wp:inline>
        </w:drawing>
      </w: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2966883"/>
    <w:rsid w:val="03CC63D7"/>
    <w:rsid w:val="04F76473"/>
    <w:rsid w:val="07A11E1A"/>
    <w:rsid w:val="089D7F6D"/>
    <w:rsid w:val="09D5345C"/>
    <w:rsid w:val="0A1C5EDC"/>
    <w:rsid w:val="0A27015B"/>
    <w:rsid w:val="0A5D5908"/>
    <w:rsid w:val="0BD51C61"/>
    <w:rsid w:val="0EDC1223"/>
    <w:rsid w:val="12386C7D"/>
    <w:rsid w:val="13D12EE6"/>
    <w:rsid w:val="141A7924"/>
    <w:rsid w:val="153C4810"/>
    <w:rsid w:val="160D5A33"/>
    <w:rsid w:val="16BC1C2B"/>
    <w:rsid w:val="1C4A2E55"/>
    <w:rsid w:val="1D8E746D"/>
    <w:rsid w:val="1DE92E23"/>
    <w:rsid w:val="1E1E483E"/>
    <w:rsid w:val="1F250DF2"/>
    <w:rsid w:val="1F5B398D"/>
    <w:rsid w:val="1FF73CD4"/>
    <w:rsid w:val="22CB7136"/>
    <w:rsid w:val="27903C66"/>
    <w:rsid w:val="284F788D"/>
    <w:rsid w:val="2A9D36CA"/>
    <w:rsid w:val="2CBC252D"/>
    <w:rsid w:val="2E5E68CC"/>
    <w:rsid w:val="2EC41433"/>
    <w:rsid w:val="2F917EEC"/>
    <w:rsid w:val="31297B3A"/>
    <w:rsid w:val="355F439E"/>
    <w:rsid w:val="35CC29B8"/>
    <w:rsid w:val="361E3E5D"/>
    <w:rsid w:val="37A6654A"/>
    <w:rsid w:val="386A7D3B"/>
    <w:rsid w:val="388E23D2"/>
    <w:rsid w:val="38B36882"/>
    <w:rsid w:val="3BB85D78"/>
    <w:rsid w:val="3C176B62"/>
    <w:rsid w:val="420C1409"/>
    <w:rsid w:val="43CB4C37"/>
    <w:rsid w:val="4706325F"/>
    <w:rsid w:val="47290367"/>
    <w:rsid w:val="48FE4AE5"/>
    <w:rsid w:val="4ECC7680"/>
    <w:rsid w:val="4F5D6EDB"/>
    <w:rsid w:val="52AE4350"/>
    <w:rsid w:val="537F016A"/>
    <w:rsid w:val="563D798B"/>
    <w:rsid w:val="567C6788"/>
    <w:rsid w:val="579A241E"/>
    <w:rsid w:val="57BD6D10"/>
    <w:rsid w:val="58840D76"/>
    <w:rsid w:val="5C8B1D2D"/>
    <w:rsid w:val="5D511379"/>
    <w:rsid w:val="60FB542C"/>
    <w:rsid w:val="61B336CF"/>
    <w:rsid w:val="636808F8"/>
    <w:rsid w:val="63B84238"/>
    <w:rsid w:val="64FD4259"/>
    <w:rsid w:val="69194288"/>
    <w:rsid w:val="6A640607"/>
    <w:rsid w:val="6AD40467"/>
    <w:rsid w:val="6B3179BA"/>
    <w:rsid w:val="6BF95CAB"/>
    <w:rsid w:val="6C4D48B3"/>
    <w:rsid w:val="6D0669CA"/>
    <w:rsid w:val="6D406D3D"/>
    <w:rsid w:val="6FDF53A7"/>
    <w:rsid w:val="717A11AE"/>
    <w:rsid w:val="71FA5E13"/>
    <w:rsid w:val="72FD2CFB"/>
    <w:rsid w:val="74AE7C8C"/>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qFormat/>
    <w:uiPriority w:val="99"/>
    <w:pPr>
      <w:ind w:firstLine="200" w:firstLineChars="200"/>
      <w:jc w:val="left"/>
    </w:pPr>
    <w:rPr>
      <w:sz w:val="28"/>
      <w:szCs w:val="20"/>
      <w:u w:color="000000"/>
    </w:r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6">
    <w:name w:val="Plain Text"/>
    <w:basedOn w:val="1"/>
    <w:unhideWhenUsed/>
    <w:qFormat/>
    <w:uiPriority w:val="99"/>
    <w:rPr>
      <w:rFonts w:ascii="宋体" w:hAnsi="Courier New"/>
      <w:kern w:val="0"/>
      <w:sz w:val="20"/>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5"/>
    <w:next w:val="1"/>
    <w:qFormat/>
    <w:uiPriority w:val="0"/>
    <w:pPr>
      <w:ind w:firstLine="420" w:firstLineChars="100"/>
    </w:pPr>
    <w:rPr>
      <w:b/>
      <w:u w:val="single"/>
    </w:rPr>
  </w:style>
  <w:style w:type="character" w:styleId="11">
    <w:name w:val="annotation reference"/>
    <w:qFormat/>
    <w:uiPriority w:val="99"/>
    <w:rPr>
      <w:sz w:val="21"/>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111"/>
    <w:basedOn w:val="14"/>
    <w:qFormat/>
    <w:uiPriority w:val="0"/>
    <w:pPr>
      <w:widowControl/>
      <w:spacing w:beforeAutospacing="0" w:afterAutospacing="0"/>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6"/>
    <w:qFormat/>
    <w:uiPriority w:val="0"/>
    <w:pPr>
      <w:spacing w:line="320" w:lineRule="exact"/>
      <w:jc w:val="center"/>
    </w:pPr>
    <w:rPr>
      <w:rFonts w:ascii="Times New Roman" w:hAnsi="Times New Roman"/>
      <w:kern w:val="2"/>
      <w:sz w:val="21"/>
      <w:szCs w:val="21"/>
      <w:u w:color="000000"/>
    </w:rPr>
  </w:style>
  <w:style w:type="paragraph" w:customStyle="1" w:styleId="24">
    <w:name w:val="5表格内容"/>
    <w:basedOn w:val="25"/>
    <w:qFormat/>
    <w:uiPriority w:val="0"/>
    <w:pPr>
      <w:spacing w:beforeLines="0" w:line="300" w:lineRule="exact"/>
    </w:pPr>
    <w:rPr>
      <w:rFonts w:eastAsia="宋体"/>
      <w:color w:val="auto"/>
      <w:sz w:val="21"/>
      <w:szCs w:val="21"/>
    </w:rPr>
  </w:style>
  <w:style w:type="paragraph" w:customStyle="1" w:styleId="25">
    <w:name w:val="表名"/>
    <w:basedOn w:val="6"/>
    <w:qFormat/>
    <w:uiPriority w:val="0"/>
    <w:pPr>
      <w:spacing w:beforeLines="50" w:line="360" w:lineRule="exact"/>
      <w:jc w:val="center"/>
    </w:pPr>
    <w:rPr>
      <w:rFonts w:ascii="Times New Roman" w:hAnsi="Times New Roman" w:eastAsia="黑体"/>
      <w:color w:val="000000"/>
      <w:kern w:val="2"/>
      <w:sz w:val="24"/>
      <w:szCs w:val="28"/>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2854</Words>
  <Characters>3151</Characters>
  <Lines>0</Lines>
  <Paragraphs>0</Paragraphs>
  <TotalTime>5</TotalTime>
  <ScaleCrop>false</ScaleCrop>
  <LinksUpToDate>false</LinksUpToDate>
  <CharactersWithSpaces>3167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A</cp:lastModifiedBy>
  <dcterms:modified xsi:type="dcterms:W3CDTF">2026-08-26T10:24:58Z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158E41C4130D45F7BB2A42425FB8946B_11</vt:lpwstr>
  </property>
  <property fmtid="{D5CDD505-2E9C-101B-9397-08002B2CF9AE}" pid="4" name="KSOTemplateDocerSaveRecord">
    <vt:lpwstr>eyJoZGlkIjoiMDljOTcxNjNhZDBjMjhkNDI1NDUxNmZjNjcwNDIwYjMiLCJ1c2VySWQiOiI0NDUyNjk3NzEifQ==</vt:lpwstr>
  </property>
</Properties>
</file>