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34740">
      <w:pPr>
        <w:jc w:val="center"/>
        <w:rPr>
          <w:rFonts w:ascii="Times New Roman" w:hAnsi="Times New Roman"/>
          <w:sz w:val="28"/>
          <w:szCs w:val="28"/>
        </w:rPr>
      </w:pPr>
      <w:bookmarkStart w:id="0" w:name="_GoBack"/>
      <w:bookmarkEnd w:id="0"/>
      <w:r>
        <w:rPr>
          <w:rFonts w:hint="eastAsia" w:ascii="Times New Roman" w:hAnsi="Times New Roman"/>
          <w:kern w:val="0"/>
          <w:sz w:val="28"/>
          <w:szCs w:val="28"/>
          <w:shd w:val="clear" w:color="auto" w:fill="FFFFFF"/>
        </w:rPr>
        <w:t>安全评价报告</w:t>
      </w:r>
      <w:r>
        <w:rPr>
          <w:rFonts w:ascii="Times New Roman" w:hAnsi="Times New Roman"/>
          <w:kern w:val="0"/>
          <w:sz w:val="28"/>
          <w:szCs w:val="28"/>
          <w:shd w:val="clear" w:color="auto" w:fill="FFFFFF"/>
        </w:rPr>
        <w:t>公开信息表</w:t>
      </w:r>
    </w:p>
    <w:tbl>
      <w:tblPr>
        <w:tblStyle w:val="23"/>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88"/>
        <w:gridCol w:w="952"/>
        <w:gridCol w:w="5574"/>
        <w:gridCol w:w="2115"/>
      </w:tblGrid>
      <w:tr w14:paraId="765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82FB0BF">
            <w:pPr>
              <w:widowControl/>
              <w:spacing w:after="150"/>
              <w:jc w:val="center"/>
              <w:rPr>
                <w:rFonts w:ascii="宋体" w:hAnsi="宋体" w:cs="宋体"/>
                <w:sz w:val="24"/>
              </w:rPr>
            </w:pPr>
            <w:r>
              <w:rPr>
                <w:rFonts w:hint="eastAsia" w:ascii="宋体" w:hAnsi="宋体" w:cs="宋体"/>
                <w:kern w:val="0"/>
                <w:sz w:val="24"/>
                <w:shd w:val="clear" w:color="auto" w:fill="FFFFFF"/>
              </w:rPr>
              <w:t>项目名称</w:t>
            </w:r>
          </w:p>
        </w:tc>
        <w:tc>
          <w:tcPr>
            <w:tcW w:w="8641" w:type="dxa"/>
            <w:gridSpan w:val="3"/>
            <w:tcBorders>
              <w:tl2br w:val="nil"/>
              <w:tr2bl w:val="nil"/>
            </w:tcBorders>
            <w:shd w:val="clear" w:color="auto" w:fill="FFFFFF"/>
            <w:vAlign w:val="center"/>
          </w:tcPr>
          <w:p w14:paraId="61A650FF">
            <w:pPr>
              <w:widowControl/>
              <w:spacing w:after="150"/>
              <w:jc w:val="center"/>
              <w:rPr>
                <w:rFonts w:ascii="宋体" w:hAnsi="宋体" w:cs="宋体"/>
                <w:sz w:val="24"/>
              </w:rPr>
            </w:pPr>
            <w:r>
              <w:rPr>
                <w:rFonts w:hint="eastAsia" w:ascii="宋体" w:hAnsi="宋体" w:cs="宋体"/>
                <w:kern w:val="0"/>
                <w:sz w:val="24"/>
                <w:shd w:val="clear" w:color="auto" w:fill="FFFFFF"/>
                <w:lang w:val="en-US" w:eastAsia="zh-CN"/>
              </w:rPr>
              <w:t>新余赣锋锂业有限公司万吨高纯锂盐改扩建项目</w:t>
            </w:r>
            <w:r>
              <w:rPr>
                <w:rFonts w:hint="eastAsia" w:ascii="宋体" w:hAnsi="宋体" w:eastAsia="宋体" w:cs="宋体"/>
                <w:kern w:val="0"/>
                <w:sz w:val="24"/>
                <w:shd w:val="clear" w:color="auto" w:fill="FFFFFF"/>
                <w:lang w:eastAsia="zh-CN"/>
              </w:rPr>
              <w:t>安全</w:t>
            </w:r>
            <w:r>
              <w:rPr>
                <w:rFonts w:hint="eastAsia" w:ascii="宋体" w:hAnsi="宋体" w:cs="宋体"/>
                <w:kern w:val="0"/>
                <w:sz w:val="24"/>
                <w:shd w:val="clear" w:color="auto" w:fill="FFFFFF"/>
                <w:lang w:val="en-US" w:eastAsia="zh-CN"/>
              </w:rPr>
              <w:t>设施竣工验收</w:t>
            </w:r>
            <w:r>
              <w:rPr>
                <w:rFonts w:hint="eastAsia" w:ascii="宋体" w:hAnsi="宋体" w:eastAsia="宋体" w:cs="宋体"/>
                <w:kern w:val="0"/>
                <w:sz w:val="24"/>
                <w:shd w:val="clear" w:color="auto" w:fill="FFFFFF"/>
                <w:lang w:eastAsia="zh-CN"/>
              </w:rPr>
              <w:t>评价</w:t>
            </w:r>
          </w:p>
        </w:tc>
      </w:tr>
      <w:tr w14:paraId="5426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232A0674">
            <w:pPr>
              <w:widowControl/>
              <w:spacing w:after="150"/>
              <w:jc w:val="center"/>
              <w:rPr>
                <w:rFonts w:ascii="宋体" w:hAnsi="宋体" w:cs="宋体"/>
                <w:sz w:val="24"/>
              </w:rPr>
            </w:pPr>
            <w:r>
              <w:rPr>
                <w:rFonts w:hint="eastAsia" w:ascii="宋体" w:hAnsi="宋体" w:cs="宋体"/>
                <w:kern w:val="0"/>
                <w:sz w:val="24"/>
                <w:shd w:val="clear" w:color="auto" w:fill="FFFFFF"/>
              </w:rPr>
              <w:t>完成时间</w:t>
            </w:r>
          </w:p>
        </w:tc>
        <w:tc>
          <w:tcPr>
            <w:tcW w:w="8641" w:type="dxa"/>
            <w:gridSpan w:val="3"/>
            <w:tcBorders>
              <w:tl2br w:val="nil"/>
              <w:tr2bl w:val="nil"/>
            </w:tcBorders>
            <w:shd w:val="clear" w:color="auto" w:fill="FFFFFF"/>
            <w:vAlign w:val="center"/>
          </w:tcPr>
          <w:p w14:paraId="0D6A2948">
            <w:pPr>
              <w:widowControl/>
              <w:spacing w:after="150"/>
              <w:jc w:val="center"/>
              <w:rPr>
                <w:rFonts w:hint="default" w:ascii="宋体" w:hAnsi="宋体" w:eastAsia="宋体" w:cs="宋体"/>
                <w:sz w:val="24"/>
                <w:lang w:val="en-US" w:eastAsia="zh-CN"/>
              </w:rPr>
            </w:pPr>
            <w:r>
              <w:rPr>
                <w:rFonts w:hint="eastAsia" w:ascii="宋体" w:hAnsi="宋体" w:cs="宋体"/>
                <w:sz w:val="24"/>
              </w:rPr>
              <w:t>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9</w:t>
            </w:r>
            <w:r>
              <w:rPr>
                <w:rFonts w:hint="eastAsia" w:ascii="宋体" w:hAnsi="宋体" w:cs="宋体"/>
                <w:sz w:val="24"/>
              </w:rPr>
              <w:t>月</w:t>
            </w:r>
          </w:p>
        </w:tc>
      </w:tr>
      <w:tr w14:paraId="2AD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9229" w:type="dxa"/>
            <w:gridSpan w:val="4"/>
            <w:tcBorders>
              <w:tl2br w:val="nil"/>
              <w:tr2bl w:val="nil"/>
            </w:tcBorders>
            <w:shd w:val="clear" w:color="auto" w:fill="FFFFFF"/>
            <w:vAlign w:val="center"/>
          </w:tcPr>
          <w:p w14:paraId="3EE647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评价人员</w:t>
            </w:r>
          </w:p>
        </w:tc>
      </w:tr>
      <w:tr w14:paraId="316E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0B93473">
            <w:pPr>
              <w:jc w:val="center"/>
              <w:rPr>
                <w:rFonts w:ascii="宋体" w:hAnsi="宋体" w:cs="宋体"/>
                <w:sz w:val="24"/>
              </w:rPr>
            </w:pPr>
          </w:p>
        </w:tc>
        <w:tc>
          <w:tcPr>
            <w:tcW w:w="952" w:type="dxa"/>
            <w:tcBorders>
              <w:tl2br w:val="nil"/>
              <w:tr2bl w:val="nil"/>
            </w:tcBorders>
            <w:shd w:val="clear" w:color="auto" w:fill="FFFFFF"/>
            <w:vAlign w:val="center"/>
          </w:tcPr>
          <w:p w14:paraId="476FDDF2">
            <w:pPr>
              <w:widowControl/>
              <w:spacing w:after="150"/>
              <w:jc w:val="center"/>
              <w:rPr>
                <w:rFonts w:ascii="宋体" w:hAnsi="宋体" w:cs="宋体"/>
                <w:sz w:val="24"/>
              </w:rPr>
            </w:pPr>
            <w:r>
              <w:rPr>
                <w:rFonts w:hint="eastAsia" w:ascii="宋体" w:hAnsi="宋体" w:cs="宋体"/>
                <w:kern w:val="0"/>
                <w:sz w:val="24"/>
                <w:shd w:val="clear" w:color="auto" w:fill="FFFFFF"/>
              </w:rPr>
              <w:t>姓名</w:t>
            </w:r>
          </w:p>
        </w:tc>
        <w:tc>
          <w:tcPr>
            <w:tcW w:w="5574" w:type="dxa"/>
            <w:tcBorders>
              <w:tl2br w:val="nil"/>
              <w:tr2bl w:val="nil"/>
            </w:tcBorders>
            <w:shd w:val="clear" w:color="auto" w:fill="FFFFFF"/>
            <w:vAlign w:val="center"/>
          </w:tcPr>
          <w:p w14:paraId="41DE2DD7">
            <w:pPr>
              <w:widowControl/>
              <w:spacing w:after="150"/>
              <w:jc w:val="center"/>
              <w:rPr>
                <w:rFonts w:ascii="宋体" w:hAnsi="宋体" w:cs="宋体"/>
                <w:sz w:val="24"/>
              </w:rPr>
            </w:pPr>
            <w:r>
              <w:rPr>
                <w:rFonts w:hint="eastAsia" w:ascii="宋体" w:hAnsi="宋体" w:cs="宋体"/>
                <w:kern w:val="0"/>
                <w:sz w:val="24"/>
                <w:shd w:val="clear" w:color="auto" w:fill="FFFFFF"/>
              </w:rPr>
              <w:t>资格证书号</w:t>
            </w:r>
          </w:p>
        </w:tc>
        <w:tc>
          <w:tcPr>
            <w:tcW w:w="2115" w:type="dxa"/>
            <w:tcBorders>
              <w:tl2br w:val="nil"/>
              <w:tr2bl w:val="nil"/>
            </w:tcBorders>
            <w:shd w:val="clear" w:color="auto" w:fill="FFFFFF"/>
            <w:vAlign w:val="center"/>
          </w:tcPr>
          <w:p w14:paraId="48A34EEA">
            <w:pPr>
              <w:widowControl/>
              <w:spacing w:after="150"/>
              <w:jc w:val="center"/>
              <w:rPr>
                <w:rFonts w:ascii="宋体" w:hAnsi="宋体" w:cs="宋体"/>
                <w:sz w:val="24"/>
              </w:rPr>
            </w:pPr>
            <w:r>
              <w:rPr>
                <w:rFonts w:hint="eastAsia" w:ascii="宋体" w:hAnsi="宋体" w:cs="宋体"/>
                <w:kern w:val="0"/>
                <w:sz w:val="24"/>
                <w:shd w:val="clear" w:color="auto" w:fill="FFFFFF"/>
              </w:rPr>
              <w:t>从业号</w:t>
            </w:r>
          </w:p>
        </w:tc>
      </w:tr>
      <w:tr w14:paraId="29A8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32" w:hRule="atLeast"/>
          <w:jc w:val="center"/>
        </w:trPr>
        <w:tc>
          <w:tcPr>
            <w:tcW w:w="588" w:type="dxa"/>
            <w:tcBorders>
              <w:tl2br w:val="nil"/>
              <w:tr2bl w:val="nil"/>
            </w:tcBorders>
            <w:shd w:val="clear" w:color="auto" w:fill="FFFFFF"/>
            <w:vAlign w:val="center"/>
          </w:tcPr>
          <w:p w14:paraId="1FB23008">
            <w:pPr>
              <w:jc w:val="center"/>
              <w:rPr>
                <w:rFonts w:ascii="宋体" w:hAnsi="宋体" w:cs="宋体"/>
                <w:sz w:val="24"/>
              </w:rPr>
            </w:pPr>
            <w:r>
              <w:rPr>
                <w:rFonts w:hint="eastAsia" w:ascii="宋体" w:hAnsi="宋体" w:cs="宋体"/>
                <w:sz w:val="24"/>
              </w:rPr>
              <w:t>项目负责人</w:t>
            </w:r>
          </w:p>
        </w:tc>
        <w:tc>
          <w:tcPr>
            <w:tcW w:w="952" w:type="dxa"/>
            <w:tcBorders>
              <w:tl2br w:val="nil"/>
              <w:tr2bl w:val="nil"/>
            </w:tcBorders>
            <w:shd w:val="clear" w:color="auto" w:fill="FFFFFF"/>
            <w:vAlign w:val="center"/>
          </w:tcPr>
          <w:p w14:paraId="56565DEB">
            <w:pPr>
              <w:spacing w:before="156" w:beforeLines="50" w:after="156" w:afterLines="50" w:line="300" w:lineRule="exact"/>
              <w:jc w:val="center"/>
              <w:rPr>
                <w:rFonts w:hint="default" w:ascii="Calibri" w:hAnsi="Calibri" w:eastAsia="宋体" w:cs="Times New Roman"/>
                <w:kern w:val="2"/>
                <w:sz w:val="24"/>
                <w:szCs w:val="24"/>
                <w:lang w:val="en-US" w:eastAsia="zh-CN" w:bidi="ar-SA"/>
              </w:rPr>
            </w:pPr>
            <w:r>
              <w:rPr>
                <w:rFonts w:hint="eastAsia"/>
                <w:sz w:val="24"/>
              </w:rPr>
              <w:t>黎财荣</w:t>
            </w:r>
          </w:p>
        </w:tc>
        <w:tc>
          <w:tcPr>
            <w:tcW w:w="5574" w:type="dxa"/>
            <w:tcBorders>
              <w:tl2br w:val="nil"/>
              <w:tr2bl w:val="nil"/>
            </w:tcBorders>
            <w:shd w:val="clear" w:color="auto" w:fill="FFFFFF"/>
            <w:vAlign w:val="center"/>
          </w:tcPr>
          <w:p w14:paraId="74203271">
            <w:pPr>
              <w:spacing w:line="360" w:lineRule="exact"/>
              <w:jc w:val="center"/>
              <w:rPr>
                <w:rFonts w:hint="default" w:ascii="宋体" w:hAnsi="宋体" w:eastAsia="宋体" w:cs="宋体"/>
                <w:kern w:val="2"/>
                <w:sz w:val="24"/>
                <w:szCs w:val="24"/>
                <w:lang w:val="en-US" w:eastAsia="zh-CN" w:bidi="zh-TW"/>
              </w:rPr>
            </w:pPr>
            <w:r>
              <w:rPr>
                <w:rFonts w:hint="eastAsia" w:ascii="宋体" w:hAnsi="宋体" w:cs="宋体"/>
                <w:sz w:val="24"/>
                <w:lang w:bidi="zh-TW"/>
              </w:rPr>
              <w:t>0800000000204012</w:t>
            </w:r>
          </w:p>
        </w:tc>
        <w:tc>
          <w:tcPr>
            <w:tcW w:w="2115" w:type="dxa"/>
            <w:tcBorders>
              <w:tl2br w:val="nil"/>
              <w:tr2bl w:val="nil"/>
            </w:tcBorders>
            <w:shd w:val="clear" w:color="auto" w:fill="FFFFFF"/>
            <w:vAlign w:val="center"/>
          </w:tcPr>
          <w:p w14:paraId="3EA9A323">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ascii="宋体" w:hAnsi="宋体" w:eastAsia="宋体" w:cs="宋体"/>
                <w:sz w:val="24"/>
                <w:lang w:bidi="zh-TW"/>
              </w:rPr>
              <w:t>013051</w:t>
            </w:r>
          </w:p>
        </w:tc>
      </w:tr>
      <w:tr w14:paraId="42A3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atLeast"/>
          <w:jc w:val="center"/>
        </w:trPr>
        <w:tc>
          <w:tcPr>
            <w:tcW w:w="588" w:type="dxa"/>
            <w:vMerge w:val="restart"/>
            <w:tcBorders>
              <w:tl2br w:val="nil"/>
              <w:tr2bl w:val="nil"/>
            </w:tcBorders>
            <w:shd w:val="clear" w:color="auto" w:fill="FFFFFF"/>
            <w:vAlign w:val="center"/>
          </w:tcPr>
          <w:p w14:paraId="4A4D7CCA">
            <w:pPr>
              <w:jc w:val="center"/>
              <w:rPr>
                <w:rFonts w:ascii="宋体" w:hAnsi="宋体" w:cs="宋体"/>
                <w:sz w:val="24"/>
              </w:rPr>
            </w:pPr>
            <w:r>
              <w:rPr>
                <w:rFonts w:hint="eastAsia" w:ascii="宋体" w:hAnsi="宋体" w:cs="宋体"/>
                <w:sz w:val="24"/>
              </w:rPr>
              <w:t>项目组成员</w:t>
            </w:r>
          </w:p>
        </w:tc>
        <w:tc>
          <w:tcPr>
            <w:tcW w:w="952" w:type="dxa"/>
            <w:tcBorders>
              <w:tl2br w:val="nil"/>
              <w:tr2bl w:val="nil"/>
            </w:tcBorders>
            <w:shd w:val="clear" w:color="auto" w:fill="FFFFFF"/>
            <w:vAlign w:val="center"/>
          </w:tcPr>
          <w:p w14:paraId="2D36C39E">
            <w:pPr>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刘二平</w:t>
            </w:r>
          </w:p>
        </w:tc>
        <w:tc>
          <w:tcPr>
            <w:tcW w:w="5574" w:type="dxa"/>
            <w:tcBorders>
              <w:tl2br w:val="nil"/>
              <w:tr2bl w:val="nil"/>
            </w:tcBorders>
            <w:shd w:val="clear" w:color="auto" w:fill="FFFFFF"/>
            <w:vAlign w:val="center"/>
          </w:tcPr>
          <w:p w14:paraId="652AFC5A">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03320241036000000887</w:t>
            </w:r>
          </w:p>
        </w:tc>
        <w:tc>
          <w:tcPr>
            <w:tcW w:w="2115" w:type="dxa"/>
            <w:tcBorders>
              <w:tl2br w:val="nil"/>
              <w:tr2bl w:val="nil"/>
            </w:tcBorders>
            <w:shd w:val="clear" w:color="auto" w:fill="FFFFFF"/>
            <w:vAlign w:val="center"/>
          </w:tcPr>
          <w:p w14:paraId="155B3950">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37250438462</w:t>
            </w:r>
          </w:p>
        </w:tc>
      </w:tr>
      <w:tr w14:paraId="594F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1894849F">
            <w:pPr>
              <w:jc w:val="center"/>
              <w:rPr>
                <w:rFonts w:ascii="宋体" w:hAnsi="宋体" w:cs="宋体"/>
                <w:sz w:val="24"/>
              </w:rPr>
            </w:pPr>
          </w:p>
        </w:tc>
        <w:tc>
          <w:tcPr>
            <w:tcW w:w="952" w:type="dxa"/>
            <w:tcBorders>
              <w:tl2br w:val="nil"/>
              <w:tr2bl w:val="nil"/>
            </w:tcBorders>
            <w:shd w:val="clear" w:color="auto" w:fill="auto"/>
            <w:vAlign w:val="center"/>
          </w:tcPr>
          <w:p w14:paraId="4A9331A7">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于志勇</w:t>
            </w:r>
          </w:p>
        </w:tc>
        <w:tc>
          <w:tcPr>
            <w:tcW w:w="5574" w:type="dxa"/>
            <w:tcBorders>
              <w:tl2br w:val="nil"/>
              <w:tr2bl w:val="nil"/>
            </w:tcBorders>
            <w:shd w:val="clear" w:color="auto" w:fill="auto"/>
            <w:vAlign w:val="center"/>
          </w:tcPr>
          <w:p w14:paraId="3E4AF7D5">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2014033230330000003310230030</w:t>
            </w:r>
          </w:p>
        </w:tc>
        <w:tc>
          <w:tcPr>
            <w:tcW w:w="2115" w:type="dxa"/>
            <w:tcBorders>
              <w:tl2br w:val="nil"/>
              <w:tr2bl w:val="nil"/>
            </w:tcBorders>
            <w:shd w:val="clear" w:color="auto" w:fill="auto"/>
            <w:vAlign w:val="center"/>
          </w:tcPr>
          <w:p w14:paraId="097E9CF2">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51190209624</w:t>
            </w:r>
          </w:p>
        </w:tc>
      </w:tr>
      <w:tr w14:paraId="7518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218282FC">
            <w:pPr>
              <w:jc w:val="center"/>
              <w:rPr>
                <w:rFonts w:ascii="宋体" w:hAnsi="宋体" w:cs="宋体"/>
                <w:sz w:val="24"/>
              </w:rPr>
            </w:pPr>
          </w:p>
        </w:tc>
        <w:tc>
          <w:tcPr>
            <w:tcW w:w="952" w:type="dxa"/>
            <w:tcBorders>
              <w:tl2br w:val="nil"/>
              <w:tr2bl w:val="nil"/>
            </w:tcBorders>
            <w:shd w:val="clear" w:color="auto" w:fill="FFFFFF"/>
            <w:vAlign w:val="center"/>
          </w:tcPr>
          <w:p w14:paraId="07C8D395">
            <w:pPr>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程冬红</w:t>
            </w:r>
          </w:p>
        </w:tc>
        <w:tc>
          <w:tcPr>
            <w:tcW w:w="5574" w:type="dxa"/>
            <w:tcBorders>
              <w:tl2br w:val="nil"/>
              <w:tr2bl w:val="nil"/>
            </w:tcBorders>
            <w:shd w:val="clear" w:color="auto" w:fill="FFFFFF"/>
            <w:vAlign w:val="center"/>
          </w:tcPr>
          <w:p w14:paraId="1F79760F">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1500000000301714</w:t>
            </w:r>
          </w:p>
        </w:tc>
        <w:tc>
          <w:tcPr>
            <w:tcW w:w="2115" w:type="dxa"/>
            <w:tcBorders>
              <w:tl2br w:val="nil"/>
              <w:tr2bl w:val="nil"/>
            </w:tcBorders>
            <w:shd w:val="clear" w:color="auto" w:fill="FFFFFF"/>
            <w:vAlign w:val="center"/>
          </w:tcPr>
          <w:p w14:paraId="05E42F8E">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ascii="宋体" w:hAnsi="宋体" w:eastAsia="宋体" w:cs="宋体"/>
                <w:sz w:val="24"/>
              </w:rPr>
              <w:t>026812</w:t>
            </w:r>
          </w:p>
        </w:tc>
      </w:tr>
      <w:tr w14:paraId="3B1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78FC19D6">
            <w:pPr>
              <w:jc w:val="center"/>
              <w:rPr>
                <w:rFonts w:ascii="宋体" w:hAnsi="宋体" w:cs="宋体"/>
                <w:sz w:val="24"/>
              </w:rPr>
            </w:pPr>
          </w:p>
        </w:tc>
        <w:tc>
          <w:tcPr>
            <w:tcW w:w="952" w:type="dxa"/>
            <w:tcBorders>
              <w:tl2br w:val="nil"/>
              <w:tr2bl w:val="nil"/>
            </w:tcBorders>
            <w:shd w:val="clear" w:color="auto" w:fill="auto"/>
            <w:vAlign w:val="center"/>
          </w:tcPr>
          <w:p w14:paraId="5313DC72">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徐顺星</w:t>
            </w:r>
          </w:p>
        </w:tc>
        <w:tc>
          <w:tcPr>
            <w:tcW w:w="5574" w:type="dxa"/>
            <w:tcBorders>
              <w:tl2br w:val="nil"/>
              <w:tr2bl w:val="nil"/>
            </w:tcBorders>
            <w:shd w:val="clear" w:color="auto" w:fill="auto"/>
            <w:vAlign w:val="center"/>
          </w:tcPr>
          <w:p w14:paraId="0A94E59E">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1100000000300932</w:t>
            </w:r>
          </w:p>
        </w:tc>
        <w:tc>
          <w:tcPr>
            <w:tcW w:w="2115" w:type="dxa"/>
            <w:tcBorders>
              <w:tl2br w:val="nil"/>
              <w:tr2bl w:val="nil"/>
            </w:tcBorders>
            <w:shd w:val="clear" w:color="auto" w:fill="auto"/>
            <w:vAlign w:val="center"/>
          </w:tcPr>
          <w:p w14:paraId="4DD07733">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018803</w:t>
            </w:r>
          </w:p>
        </w:tc>
      </w:tr>
      <w:tr w14:paraId="1968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393FDAF">
            <w:pPr>
              <w:widowControl/>
              <w:spacing w:after="150"/>
              <w:jc w:val="center"/>
              <w:rPr>
                <w:rFonts w:ascii="宋体" w:hAnsi="宋体" w:cs="宋体"/>
                <w:sz w:val="24"/>
              </w:rPr>
            </w:pPr>
            <w:r>
              <w:rPr>
                <w:rFonts w:hint="eastAsia" w:ascii="宋体" w:hAnsi="宋体" w:cs="宋体"/>
                <w:kern w:val="0"/>
                <w:sz w:val="24"/>
                <w:shd w:val="clear" w:color="auto" w:fill="FFFFFF"/>
              </w:rPr>
              <w:t>技术专家</w:t>
            </w:r>
          </w:p>
        </w:tc>
        <w:tc>
          <w:tcPr>
            <w:tcW w:w="8641" w:type="dxa"/>
            <w:gridSpan w:val="3"/>
            <w:tcBorders>
              <w:tl2br w:val="nil"/>
              <w:tr2bl w:val="nil"/>
            </w:tcBorders>
            <w:shd w:val="clear" w:color="auto" w:fill="FFFFFF"/>
            <w:vAlign w:val="center"/>
          </w:tcPr>
          <w:p w14:paraId="06BC571F">
            <w:pPr>
              <w:jc w:val="center"/>
              <w:rPr>
                <w:rFonts w:ascii="宋体" w:hAnsi="宋体" w:cs="宋体"/>
                <w:sz w:val="24"/>
              </w:rPr>
            </w:pPr>
            <w:r>
              <w:rPr>
                <w:rFonts w:hint="eastAsia" w:ascii="宋体" w:hAnsi="宋体" w:cs="宋体"/>
                <w:sz w:val="24"/>
              </w:rPr>
              <w:t>/</w:t>
            </w:r>
          </w:p>
        </w:tc>
      </w:tr>
      <w:tr w14:paraId="4F7E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 w:hRule="atLeast"/>
          <w:jc w:val="center"/>
        </w:trPr>
        <w:tc>
          <w:tcPr>
            <w:tcW w:w="588" w:type="dxa"/>
            <w:tcBorders>
              <w:tl2br w:val="nil"/>
              <w:tr2bl w:val="nil"/>
            </w:tcBorders>
            <w:shd w:val="clear" w:color="auto" w:fill="FFFFFF"/>
            <w:vAlign w:val="center"/>
          </w:tcPr>
          <w:p w14:paraId="29ED6B3E">
            <w:pPr>
              <w:widowControl/>
              <w:spacing w:after="150"/>
              <w:jc w:val="center"/>
              <w:rPr>
                <w:rFonts w:ascii="宋体" w:hAnsi="宋体" w:cs="宋体"/>
                <w:sz w:val="24"/>
              </w:rPr>
            </w:pPr>
            <w:r>
              <w:rPr>
                <w:rFonts w:hint="eastAsia" w:ascii="宋体" w:hAnsi="宋体" w:cs="宋体"/>
                <w:kern w:val="0"/>
                <w:sz w:val="24"/>
                <w:shd w:val="clear" w:color="auto" w:fill="FFFFFF"/>
              </w:rPr>
              <w:t>现场勘察人员及时间</w:t>
            </w:r>
          </w:p>
        </w:tc>
        <w:tc>
          <w:tcPr>
            <w:tcW w:w="8641" w:type="dxa"/>
            <w:gridSpan w:val="3"/>
            <w:tcBorders>
              <w:tl2br w:val="nil"/>
              <w:tr2bl w:val="nil"/>
            </w:tcBorders>
            <w:shd w:val="clear" w:color="auto" w:fill="FFFFFF"/>
            <w:vAlign w:val="center"/>
          </w:tcPr>
          <w:p w14:paraId="0A9BD943">
            <w:pPr>
              <w:widowControl/>
              <w:spacing w:after="150"/>
              <w:jc w:val="center"/>
              <w:rPr>
                <w:rFonts w:hint="default" w:ascii="Times New Roman" w:hAnsi="Times New Roman" w:eastAsia="宋体"/>
                <w:sz w:val="24"/>
                <w:lang w:val="en-US" w:eastAsia="zh-CN"/>
              </w:rPr>
            </w:pPr>
            <w:r>
              <w:rPr>
                <w:rFonts w:hint="eastAsia"/>
                <w:sz w:val="24"/>
              </w:rPr>
              <w:t>黎财荣</w:t>
            </w:r>
            <w:r>
              <w:rPr>
                <w:rFonts w:hint="eastAsia"/>
                <w:color w:val="000000"/>
                <w:sz w:val="24"/>
              </w:rPr>
              <w:t>、</w:t>
            </w:r>
            <w:r>
              <w:rPr>
                <w:rFonts w:hint="eastAsia" w:cs="Times New Roman"/>
                <w:sz w:val="24"/>
                <w:szCs w:val="24"/>
                <w:lang w:val="en-US" w:eastAsia="zh-CN"/>
              </w:rPr>
              <w:t>徐顺星</w:t>
            </w:r>
            <w:r>
              <w:rPr>
                <w:rFonts w:hint="eastAsia"/>
                <w:sz w:val="24"/>
              </w:rPr>
              <w:t xml:space="preserve"> </w:t>
            </w:r>
            <w:r>
              <w:rPr>
                <w:rFonts w:hint="eastAsia"/>
                <w:sz w:val="24"/>
                <w:lang w:val="en-US" w:eastAsia="zh-CN"/>
              </w:rPr>
              <w:t>2026年9月2日</w:t>
            </w:r>
          </w:p>
        </w:tc>
      </w:tr>
      <w:tr w14:paraId="0A65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61" w:hRule="atLeast"/>
          <w:jc w:val="center"/>
        </w:trPr>
        <w:tc>
          <w:tcPr>
            <w:tcW w:w="588" w:type="dxa"/>
            <w:tcBorders>
              <w:tl2br w:val="nil"/>
              <w:tr2bl w:val="nil"/>
            </w:tcBorders>
            <w:shd w:val="clear" w:color="auto" w:fill="FFFFFF"/>
            <w:vAlign w:val="center"/>
          </w:tcPr>
          <w:p w14:paraId="716803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现场核查的人员和时间</w:t>
            </w:r>
          </w:p>
        </w:tc>
        <w:tc>
          <w:tcPr>
            <w:tcW w:w="8641" w:type="dxa"/>
            <w:gridSpan w:val="3"/>
            <w:tcBorders>
              <w:tl2br w:val="nil"/>
              <w:tr2bl w:val="nil"/>
            </w:tcBorders>
            <w:shd w:val="clear" w:color="auto" w:fill="FFFFFF"/>
            <w:vAlign w:val="center"/>
          </w:tcPr>
          <w:p w14:paraId="0C6652F1">
            <w:pPr>
              <w:widowControl/>
              <w:spacing w:after="150"/>
              <w:jc w:val="center"/>
              <w:rPr>
                <w:rFonts w:hint="default" w:ascii="Times New Roman" w:hAnsi="Times New Roman" w:eastAsia="宋体"/>
                <w:color w:val="FF0000"/>
                <w:sz w:val="24"/>
                <w:lang w:val="en-US" w:eastAsia="zh-CN"/>
              </w:rPr>
            </w:pPr>
            <w:r>
              <w:rPr>
                <w:rFonts w:hint="eastAsia" w:ascii="宋体" w:hAnsi="宋体" w:cs="宋体"/>
                <w:sz w:val="24"/>
                <w:lang w:val="en-US" w:eastAsia="zh-CN"/>
              </w:rPr>
              <w:t>黎财荣、徐顺星 2026年9月5日</w:t>
            </w:r>
          </w:p>
        </w:tc>
      </w:tr>
      <w:tr w14:paraId="7F3E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79FDD196">
            <w:pPr>
              <w:widowControl/>
              <w:spacing w:after="1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项目简介</w:t>
            </w:r>
          </w:p>
        </w:tc>
        <w:tc>
          <w:tcPr>
            <w:tcW w:w="8641" w:type="dxa"/>
            <w:gridSpan w:val="3"/>
            <w:tcBorders>
              <w:tl2br w:val="nil"/>
              <w:tr2bl w:val="nil"/>
            </w:tcBorders>
            <w:shd w:val="clear" w:color="auto" w:fill="FFFFFF"/>
          </w:tcPr>
          <w:p w14:paraId="17C2731D">
            <w:pPr>
              <w:ind w:firstLine="480" w:firstLineChars="200"/>
              <w:rPr>
                <w:rFonts w:hint="eastAsia"/>
                <w:sz w:val="24"/>
                <w:lang w:val="en-US" w:eastAsia="zh-CN"/>
              </w:rPr>
            </w:pPr>
            <w:r>
              <w:rPr>
                <w:rFonts w:hint="eastAsia" w:eastAsia="宋体" w:cs="Times New Roman"/>
                <w:sz w:val="24"/>
                <w:lang w:val="en-US" w:eastAsia="zh-CN"/>
              </w:rPr>
              <w:t>新余赣锋锂业有限公司（以下简称该公司）是江西赣锋锂业集团股份有限公司的全资子公司，成立于2020年10月20日。注册地址位于江西省新余市高新开发区阳光大道2668号，法定代表人为廖萃，公司类型为有限责任公司（非自然人投资或控股的法人独资）。</w:t>
            </w:r>
          </w:p>
          <w:p w14:paraId="10620622">
            <w:pPr>
              <w:ind w:firstLine="480" w:firstLineChars="200"/>
              <w:rPr>
                <w:rFonts w:hint="eastAsia" w:eastAsia="宋体" w:cs="Times New Roman"/>
                <w:sz w:val="24"/>
                <w:lang w:val="en-US" w:eastAsia="zh-CN"/>
              </w:rPr>
            </w:pPr>
            <w:r>
              <w:rPr>
                <w:rFonts w:hint="eastAsia" w:eastAsia="宋体" w:cs="Times New Roman"/>
                <w:sz w:val="24"/>
                <w:lang w:val="en-US" w:eastAsia="zh-CN"/>
              </w:rPr>
              <w:t>万吨高纯锂盐改扩建项目于2025年2月5日取得了新余高新技术产业开发区发展和改革局项目备案批复，项目统一代码：2411-360500-04-05-886280。</w:t>
            </w:r>
          </w:p>
          <w:p w14:paraId="087C1E6A">
            <w:pPr>
              <w:ind w:firstLine="480" w:firstLineChars="200"/>
              <w:rPr>
                <w:rFonts w:hint="eastAsia" w:eastAsia="宋体" w:cs="Times New Roman"/>
                <w:sz w:val="24"/>
                <w:lang w:val="en-US" w:eastAsia="zh-CN"/>
              </w:rPr>
            </w:pPr>
            <w:r>
              <w:rPr>
                <w:rFonts w:hint="eastAsia" w:eastAsia="宋体" w:cs="Times New Roman"/>
                <w:sz w:val="24"/>
                <w:lang w:val="en-US" w:eastAsia="zh-CN"/>
              </w:rPr>
              <w:t>新余赣锋锂业有限公司万吨高纯锂盐改扩建项目于2025年3月24日取得新余市应急管理局出具的安全条件审查意见书，文件字：余应急危化项目安条审字[2025]02号。</w:t>
            </w:r>
          </w:p>
          <w:p w14:paraId="1CE819D8">
            <w:pPr>
              <w:ind w:firstLine="480" w:firstLineChars="200"/>
              <w:rPr>
                <w:rFonts w:hint="eastAsia" w:eastAsia="宋体" w:cs="Times New Roman"/>
                <w:sz w:val="24"/>
                <w:lang w:val="en-US" w:eastAsia="zh-CN"/>
              </w:rPr>
            </w:pPr>
            <w:r>
              <w:rPr>
                <w:rFonts w:hint="eastAsia" w:eastAsia="宋体" w:cs="Times New Roman"/>
                <w:sz w:val="24"/>
                <w:lang w:val="en-US" w:eastAsia="zh-CN"/>
              </w:rPr>
              <w:t>新余赣锋锂业有限公司万吨高纯锂盐改扩建项目安全设施设计由河北英科石化工程有限公司（化工石化医药行业工程设计化工工程甲级，A213009740）编制，并于2025年6月18日取得新余市应急管理局出具安全设施设计审查意见书，文件字：余应急危化项目安设审字[2025]03号。</w:t>
            </w:r>
          </w:p>
          <w:p w14:paraId="1A7221FF">
            <w:pPr>
              <w:ind w:firstLine="480" w:firstLineChars="200"/>
              <w:rPr>
                <w:rFonts w:hint="eastAsia" w:eastAsia="宋体" w:cs="Times New Roman"/>
                <w:sz w:val="24"/>
                <w:lang w:val="en-US" w:eastAsia="zh-CN"/>
              </w:rPr>
            </w:pPr>
            <w:r>
              <w:rPr>
                <w:rFonts w:hint="eastAsia" w:eastAsia="宋体" w:cs="Times New Roman"/>
                <w:sz w:val="24"/>
                <w:lang w:val="en-US" w:eastAsia="zh-CN"/>
              </w:rPr>
              <w:t>主要设备施工、自动化安装调试单位为中工国际建设安装集团有限公司，中工国际建设安装集团有限公司具有石油化工工程施工总承包贰级、机电工程施工总承包贰级，证书编号D441051737。建筑施工单位为江西洲旭建设工程有限公司，江西洲旭建设工程有限公司具有建筑工程施工总承包壹级，证书编号D136220012。压力容器安装施工单位为江苏省工业设备安装集团有限公司，江苏省工业设备安装集团有限公司具有石油化工工程施工总承包一级，证书编号D132A07612。压力管道施工单位为新余赣锋化工有限公司（特种设备生产许可项目：承压类特种设备安装、修理、改造）。</w:t>
            </w:r>
          </w:p>
          <w:p w14:paraId="2A847C18">
            <w:pPr>
              <w:ind w:firstLine="480" w:firstLineChars="200"/>
              <w:rPr>
                <w:rFonts w:hint="eastAsia" w:eastAsia="宋体" w:cs="Times New Roman"/>
                <w:sz w:val="24"/>
                <w:lang w:val="en-US" w:eastAsia="zh-CN"/>
              </w:rPr>
            </w:pPr>
            <w:r>
              <w:rPr>
                <w:rFonts w:hint="eastAsia" w:eastAsia="宋体" w:cs="Times New Roman"/>
                <w:sz w:val="24"/>
                <w:lang w:val="en-US" w:eastAsia="zh-CN"/>
              </w:rPr>
              <w:t>该项目监理单位为大洲设计咨询集团有限公司，大洲设计咨询集团有限公司具有工程监理综合资质；证书编号为E132009158。</w:t>
            </w:r>
          </w:p>
          <w:p w14:paraId="469E535D">
            <w:pPr>
              <w:ind w:firstLine="480" w:firstLineChars="200"/>
              <w:rPr>
                <w:rFonts w:hint="default" w:ascii="Times New Roman" w:hAnsi="Times New Roman" w:cs="Times New Roman"/>
                <w:sz w:val="28"/>
                <w:szCs w:val="28"/>
                <w:lang w:val="en-US" w:eastAsia="zh-CN"/>
              </w:rPr>
            </w:pPr>
            <w:r>
              <w:rPr>
                <w:rFonts w:hint="eastAsia" w:eastAsia="宋体" w:cs="Times New Roman"/>
                <w:sz w:val="24"/>
                <w:lang w:val="en-US" w:eastAsia="zh-CN"/>
              </w:rPr>
              <w:t>该项目分两期进行建设，一期和二期工程均编制了试生产方案，操作规程等，并聘请相关专家对试生产方案进行了审查，万吨高纯锂盐改扩建项目（一期）试生产方案2025年10月31日新余高新区应急管理局出具了试生产方案回执，文件字：余危化项目备字[2025]5号，试生产期限为2025年10月31日至2026年10月30日。万吨高纯锂盐改扩建项目（二期）试生产方案2026年5月7日新余高新区应急管理局出具了试生产方案回执，文件字：余危化项目备字[2026]02号，试生产期限为2026年5月7日至2027年5月6日。</w:t>
            </w:r>
          </w:p>
        </w:tc>
      </w:tr>
      <w:tr w14:paraId="7E2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6" w:hRule="atLeast"/>
          <w:jc w:val="center"/>
        </w:trPr>
        <w:tc>
          <w:tcPr>
            <w:tcW w:w="588" w:type="dxa"/>
            <w:tcBorders>
              <w:tl2br w:val="nil"/>
              <w:tr2bl w:val="nil"/>
            </w:tcBorders>
            <w:shd w:val="clear" w:color="auto" w:fill="FFFFFF"/>
            <w:vAlign w:val="center"/>
          </w:tcPr>
          <w:p w14:paraId="20115CC1">
            <w:pPr>
              <w:widowControl/>
              <w:spacing w:after="150"/>
              <w:jc w:val="center"/>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工艺流程</w:t>
            </w:r>
          </w:p>
        </w:tc>
        <w:tc>
          <w:tcPr>
            <w:tcW w:w="8641" w:type="dxa"/>
            <w:gridSpan w:val="3"/>
            <w:tcBorders>
              <w:tl2br w:val="nil"/>
              <w:tr2bl w:val="nil"/>
            </w:tcBorders>
            <w:shd w:val="clear" w:color="auto" w:fill="FFFFFF"/>
          </w:tcPr>
          <w:p w14:paraId="54CBFC36">
            <w:pPr>
              <w:pStyle w:val="9"/>
              <w:ind w:left="0" w:leftChars="0" w:firstLine="480" w:firstLineChars="200"/>
              <w:jc w:val="left"/>
              <w:rPr>
                <w:rFonts w:hint="eastAsia" w:cs="Times New Roman"/>
                <w:kern w:val="2"/>
                <w:sz w:val="24"/>
                <w:szCs w:val="24"/>
                <w:lang w:val="en-US" w:eastAsia="zh-CN" w:bidi="ar-SA"/>
              </w:rPr>
            </w:pPr>
            <w:r>
              <w:rPr>
                <w:rFonts w:hint="eastAsia" w:cs="Times New Roman"/>
                <w:kern w:val="2"/>
                <w:sz w:val="24"/>
                <w:szCs w:val="24"/>
                <w:lang w:val="en-US" w:eastAsia="zh-CN" w:bidi="ar-SA"/>
              </w:rPr>
              <w:t>1.高纯碳酸锂生产工艺</w:t>
            </w:r>
          </w:p>
          <w:p w14:paraId="04432704">
            <w:pPr>
              <w:pStyle w:val="8"/>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高纯碳酸锂工艺包括高纯碳酸锂车间和纯水站，以外购氢氧化锂和碳酸锂为原料，经过投料调浆、碳化压滤、热解增浓、离心包装和烘干包装5个主要工序，得到高纯碳酸锂湿料和烘干高纯碳酸锂，部分送氟化锂车间使用，部分外售。</w:t>
            </w:r>
          </w:p>
          <w:p w14:paraId="2F6F9613">
            <w:pPr>
              <w:pStyle w:val="9"/>
              <w:ind w:left="0" w:leftChars="0" w:firstLine="480" w:firstLineChars="200"/>
              <w:jc w:val="left"/>
              <w:rPr>
                <w:rFonts w:hint="eastAsia" w:eastAsia="宋体" w:cs="Times New Roman"/>
                <w:kern w:val="2"/>
                <w:sz w:val="24"/>
                <w:szCs w:val="24"/>
                <w:lang w:val="en-US" w:eastAsia="zh-CN" w:bidi="ar-SA"/>
              </w:rPr>
            </w:pPr>
            <w:r>
              <w:rPr>
                <w:rFonts w:hint="eastAsia" w:eastAsia="宋体" w:cs="Times New Roman"/>
                <w:kern w:val="2"/>
                <w:sz w:val="24"/>
                <w:szCs w:val="24"/>
                <w:lang w:val="en-US" w:eastAsia="zh-CN" w:bidi="ar-SA"/>
              </w:rPr>
              <w:t>2.氟化锂工艺</w:t>
            </w:r>
          </w:p>
          <w:p w14:paraId="42F05CD1">
            <w:pPr>
              <w:pStyle w:val="8"/>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1）电池级氟化锂工艺</w:t>
            </w:r>
          </w:p>
          <w:p w14:paraId="7959F2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电池级氟化锂工艺包括1#氟化锂车间和2#氟化锂车间，1#氟化锂车间和2#氟化锂车间的生产工艺一致。以氟化氢、高纯碳酸锂、二氧化碳为主要原料，经过投料调浆、碳化压滤、沉氟化锂、离心分离、烘干包装、提锂除氟及双极膜电渗析等工序，得到电池级氟化锂。</w:t>
            </w:r>
          </w:p>
          <w:p w14:paraId="391FF0A2">
            <w:pPr>
              <w:keepNext w:val="0"/>
              <w:keepLines w:val="0"/>
              <w:pageBreakBefore w:val="0"/>
              <w:widowControl w:val="0"/>
              <w:numPr>
                <w:ilvl w:val="0"/>
                <w:numId w:val="2"/>
              </w:numPr>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工业级氟化锂工艺</w:t>
            </w:r>
          </w:p>
          <w:p w14:paraId="4663CBF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lang w:val="en-US" w:eastAsia="zh-CN"/>
              </w:rPr>
            </w:pPr>
            <w:r>
              <w:rPr>
                <w:rFonts w:hint="eastAsia" w:ascii="Calibri" w:hAnsi="Calibri" w:eastAsia="宋体" w:cs="Times New Roman"/>
                <w:kern w:val="2"/>
                <w:sz w:val="24"/>
                <w:szCs w:val="24"/>
                <w:lang w:val="en-US" w:eastAsia="zh-CN" w:bidi="ar-SA"/>
              </w:rPr>
              <w:t>工业级氟化锂工艺以碳酸锂、氟化氢等为主要原料，经过沉氟化锂、离心分离、烘干包装、微粉包装等工序，得到工业级氟化锂。</w:t>
            </w:r>
          </w:p>
        </w:tc>
      </w:tr>
      <w:tr w14:paraId="1BF1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3409B03F">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被评价单位信息反馈情况</w:t>
            </w:r>
          </w:p>
        </w:tc>
        <w:tc>
          <w:tcPr>
            <w:tcW w:w="8641" w:type="dxa"/>
            <w:gridSpan w:val="3"/>
            <w:tcBorders>
              <w:tl2br w:val="nil"/>
              <w:tr2bl w:val="nil"/>
            </w:tcBorders>
            <w:shd w:val="clear" w:color="auto" w:fill="FFFFFF"/>
            <w:vAlign w:val="center"/>
          </w:tcPr>
          <w:p w14:paraId="7EFBC9DB">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满意</w:t>
            </w:r>
          </w:p>
        </w:tc>
      </w:tr>
    </w:tbl>
    <w:p w14:paraId="5D345BA6">
      <w:pPr>
        <w:rPr>
          <w:rFonts w:hint="eastAsia" w:eastAsia="宋体"/>
          <w:lang w:eastAsia="zh-CN"/>
        </w:rPr>
      </w:pPr>
      <w:r>
        <w:br w:type="page"/>
      </w:r>
    </w:p>
    <w:p w14:paraId="58D3CBC5">
      <w:pPr>
        <w:rPr>
          <w:rFonts w:hint="eastAsia"/>
          <w:lang w:eastAsia="zh-CN"/>
        </w:rPr>
      </w:pPr>
      <w:r>
        <w:rPr>
          <w:rFonts w:hint="eastAsia"/>
          <w:lang w:eastAsia="zh-CN"/>
        </w:rPr>
        <w:drawing>
          <wp:anchor distT="0" distB="0" distL="114300" distR="114300" simplePos="0" relativeHeight="251661312" behindDoc="0" locked="0" layoutInCell="1" allowOverlap="1">
            <wp:simplePos x="0" y="0"/>
            <wp:positionH relativeFrom="column">
              <wp:posOffset>3096260</wp:posOffset>
            </wp:positionH>
            <wp:positionV relativeFrom="paragraph">
              <wp:posOffset>3540760</wp:posOffset>
            </wp:positionV>
            <wp:extent cx="2818130" cy="3757930"/>
            <wp:effectExtent l="0" t="0" r="1270" b="13970"/>
            <wp:wrapNone/>
            <wp:docPr id="3" name="图片 3" descr="2026_09_02_10_57_27_IMG_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6_09_02_10_57_27_IMG_3131"/>
                    <pic:cNvPicPr>
                      <a:picLocks noChangeAspect="1"/>
                    </pic:cNvPicPr>
                  </pic:nvPicPr>
                  <pic:blipFill>
                    <a:blip r:embed="rId4"/>
                    <a:stretch>
                      <a:fillRect/>
                    </a:stretch>
                  </pic:blipFill>
                  <pic:spPr>
                    <a:xfrm>
                      <a:off x="0" y="0"/>
                      <a:ext cx="2818130" cy="3757930"/>
                    </a:xfrm>
                    <a:prstGeom prst="rect">
                      <a:avLst/>
                    </a:prstGeom>
                  </pic:spPr>
                </pic:pic>
              </a:graphicData>
            </a:graphic>
          </wp:anchor>
        </w:drawing>
      </w:r>
      <w:r>
        <w:rPr>
          <w:rFonts w:hint="eastAsia"/>
          <w:lang w:eastAsia="zh-CN"/>
        </w:rPr>
        <w:drawing>
          <wp:anchor distT="0" distB="0" distL="114300" distR="114300" simplePos="0" relativeHeight="251659264" behindDoc="0" locked="0" layoutInCell="1" allowOverlap="1">
            <wp:simplePos x="0" y="0"/>
            <wp:positionH relativeFrom="column">
              <wp:posOffset>113030</wp:posOffset>
            </wp:positionH>
            <wp:positionV relativeFrom="paragraph">
              <wp:posOffset>3556000</wp:posOffset>
            </wp:positionV>
            <wp:extent cx="2938145" cy="3576320"/>
            <wp:effectExtent l="0" t="0" r="14605" b="5080"/>
            <wp:wrapNone/>
            <wp:docPr id="1" name="图片 1" descr="6a3fa14a-a714-4bee-a200-fff2519c5c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a3fa14a-a714-4bee-a200-fff2519c5c94"/>
                    <pic:cNvPicPr>
                      <a:picLocks noChangeAspect="1"/>
                    </pic:cNvPicPr>
                  </pic:nvPicPr>
                  <pic:blipFill>
                    <a:blip r:embed="rId5"/>
                    <a:srcRect b="8721"/>
                    <a:stretch>
                      <a:fillRect/>
                    </a:stretch>
                  </pic:blipFill>
                  <pic:spPr>
                    <a:xfrm>
                      <a:off x="0" y="0"/>
                      <a:ext cx="2938145" cy="3576320"/>
                    </a:xfrm>
                    <a:prstGeom prst="rect">
                      <a:avLst/>
                    </a:prstGeom>
                  </pic:spPr>
                </pic:pic>
              </a:graphicData>
            </a:graphic>
          </wp:anchor>
        </w:drawing>
      </w:r>
      <w:r>
        <w:rPr>
          <w:rFonts w:hint="eastAsia"/>
          <w:lang w:eastAsia="zh-CN"/>
        </w:rPr>
        <w:drawing>
          <wp:anchor distT="0" distB="0" distL="114300" distR="114300" simplePos="0" relativeHeight="251660288" behindDoc="0" locked="0" layoutInCell="1" allowOverlap="1">
            <wp:simplePos x="0" y="0"/>
            <wp:positionH relativeFrom="column">
              <wp:posOffset>3088005</wp:posOffset>
            </wp:positionH>
            <wp:positionV relativeFrom="paragraph">
              <wp:posOffset>406400</wp:posOffset>
            </wp:positionV>
            <wp:extent cx="2988945" cy="3059430"/>
            <wp:effectExtent l="0" t="0" r="1905" b="7620"/>
            <wp:wrapNone/>
            <wp:docPr id="2" name="图片 2" descr="2026_09_02_11_00_27_IMG_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6_09_02_11_00_27_IMG_3133"/>
                    <pic:cNvPicPr>
                      <a:picLocks noChangeAspect="1"/>
                    </pic:cNvPicPr>
                  </pic:nvPicPr>
                  <pic:blipFill>
                    <a:blip r:embed="rId6"/>
                    <a:srcRect l="11893" r="13463"/>
                    <a:stretch>
                      <a:fillRect/>
                    </a:stretch>
                  </pic:blipFill>
                  <pic:spPr>
                    <a:xfrm>
                      <a:off x="0" y="0"/>
                      <a:ext cx="2988945" cy="3059430"/>
                    </a:xfrm>
                    <a:prstGeom prst="rect">
                      <a:avLst/>
                    </a:prstGeom>
                  </pic:spPr>
                </pic:pic>
              </a:graphicData>
            </a:graphic>
          </wp:anchor>
        </w:drawing>
      </w:r>
      <w:r>
        <w:rPr>
          <w:rFonts w:hint="eastAsia" w:ascii="Times New Roman" w:hAnsi="Times New Roman" w:eastAsia="宋体" w:cs="Times New Roman"/>
          <w:lang w:eastAsia="zh-CN"/>
        </w:rPr>
        <w:drawing>
          <wp:anchor distT="0" distB="0" distL="114300" distR="114300" simplePos="0" relativeHeight="251660288" behindDoc="1" locked="0" layoutInCell="1" allowOverlap="1">
            <wp:simplePos x="0" y="0"/>
            <wp:positionH relativeFrom="column">
              <wp:posOffset>46990</wp:posOffset>
            </wp:positionH>
            <wp:positionV relativeFrom="paragraph">
              <wp:posOffset>341630</wp:posOffset>
            </wp:positionV>
            <wp:extent cx="2987675" cy="3123565"/>
            <wp:effectExtent l="0" t="0" r="3175" b="635"/>
            <wp:wrapNone/>
            <wp:docPr id="7" name="图片 1" descr="2026_09_02_10_35_36_IMG_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2026_09_02_10_35_36_IMG_3114"/>
                    <pic:cNvPicPr>
                      <a:picLocks noChangeAspect="1"/>
                    </pic:cNvPicPr>
                  </pic:nvPicPr>
                  <pic:blipFill>
                    <a:blip r:embed="rId7"/>
                    <a:srcRect b="21614"/>
                    <a:stretch>
                      <a:fillRect/>
                    </a:stretch>
                  </pic:blipFill>
                  <pic:spPr>
                    <a:xfrm>
                      <a:off x="0" y="0"/>
                      <a:ext cx="2987675" cy="3123565"/>
                    </a:xfrm>
                    <a:prstGeom prst="rect">
                      <a:avLst/>
                    </a:prstGeom>
                    <a:noFill/>
                    <a:ln>
                      <a:noFill/>
                    </a:ln>
                  </pic:spPr>
                </pic:pic>
              </a:graphicData>
            </a:graphic>
          </wp:anchor>
        </w:drawing>
      </w:r>
      <w:r>
        <w:rPr>
          <w:rFonts w:hint="eastAsia"/>
          <w:lang w:eastAsia="zh-CN"/>
        </w:rPr>
        <w:br w:type="page"/>
      </w:r>
      <w:r>
        <w:drawing>
          <wp:inline distT="0" distB="0" distL="114300" distR="114300">
            <wp:extent cx="5269230" cy="7444740"/>
            <wp:effectExtent l="0" t="0" r="7620" b="381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5269230" cy="7444740"/>
                    </a:xfrm>
                    <a:prstGeom prst="rect">
                      <a:avLst/>
                    </a:prstGeom>
                    <a:noFill/>
                    <a:ln>
                      <a:noFill/>
                    </a:ln>
                  </pic:spPr>
                </pic:pic>
              </a:graphicData>
            </a:graphic>
          </wp:inline>
        </w:drawing>
      </w:r>
    </w:p>
    <w:p w14:paraId="0A2220E2">
      <w:pPr>
        <w:rPr>
          <w:rFonts w:hint="eastAsia" w:eastAsia="宋体"/>
          <w:lang w:eastAsia="zh-CN"/>
        </w:rPr>
        <w:sectPr>
          <w:pgSz w:w="11906" w:h="16838"/>
          <w:pgMar w:top="1440" w:right="1800" w:bottom="1440" w:left="1800" w:header="851" w:footer="992" w:gutter="0"/>
          <w:cols w:space="720" w:num="1"/>
          <w:docGrid w:type="lines" w:linePitch="312" w:charSpace="0"/>
        </w:sectPr>
      </w:pPr>
    </w:p>
    <w:p w14:paraId="6D90DC4E"/>
    <w:p w14:paraId="3EE79A1A"/>
    <w:p w14:paraId="33221B3D">
      <w:pPr>
        <w:pStyle w:val="8"/>
      </w:pPr>
      <w:r>
        <w:drawing>
          <wp:inline distT="0" distB="0" distL="114300" distR="114300">
            <wp:extent cx="5264150" cy="7404100"/>
            <wp:effectExtent l="0" t="0" r="12700" b="635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5264150" cy="7404100"/>
                    </a:xfrm>
                    <a:prstGeom prst="rect">
                      <a:avLst/>
                    </a:prstGeom>
                    <a:noFill/>
                    <a:ln>
                      <a:noFill/>
                    </a:ln>
                  </pic:spPr>
                </pic:pic>
              </a:graphicData>
            </a:graphic>
          </wp:inline>
        </w:drawing>
      </w:r>
    </w:p>
    <w:p w14:paraId="6236FC4C"/>
    <w:p w14:paraId="74E6BE4A">
      <w:pPr>
        <w:rPr>
          <w:rFonts w:hint="eastAsia"/>
          <w:lang w:eastAsia="zh-CN"/>
        </w:rPr>
      </w:pPr>
      <w:r>
        <w:rPr>
          <w:rFonts w:hint="eastAsia"/>
          <w:lang w:eastAsia="zh-CN"/>
        </w:rPr>
        <w:br w:type="page"/>
      </w:r>
    </w:p>
    <w:p w14:paraId="2B108EC7">
      <w:pPr>
        <w:rPr>
          <w:rFonts w:hint="eastAsia" w:ascii="Calibri" w:hAnsi="Calibri" w:eastAsia="宋体" w:cs="Times New Roman"/>
          <w:kern w:val="2"/>
          <w:sz w:val="21"/>
          <w:szCs w:val="24"/>
          <w:lang w:val="en-US" w:eastAsia="zh-CN" w:bidi="ar-SA"/>
        </w:rPr>
      </w:pPr>
      <w:r>
        <w:drawing>
          <wp:inline distT="0" distB="0" distL="114300" distR="114300">
            <wp:extent cx="5271135" cy="7475855"/>
            <wp:effectExtent l="0" t="0" r="5715" b="1079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0"/>
                    <a:stretch>
                      <a:fillRect/>
                    </a:stretch>
                  </pic:blipFill>
                  <pic:spPr>
                    <a:xfrm>
                      <a:off x="0" y="0"/>
                      <a:ext cx="5271135" cy="7475855"/>
                    </a:xfrm>
                    <a:prstGeom prst="rect">
                      <a:avLst/>
                    </a:prstGeom>
                    <a:noFill/>
                    <a:ln>
                      <a:noFill/>
                    </a:ln>
                  </pic:spPr>
                </pic:pic>
              </a:graphicData>
            </a:graphic>
          </wp:inline>
        </w:drawing>
      </w:r>
      <w:r>
        <w:rPr>
          <w:rFonts w:hint="eastAsia" w:ascii="Calibri" w:hAnsi="Calibri" w:eastAsia="宋体" w:cs="Times New Roman"/>
          <w:kern w:val="2"/>
          <w:sz w:val="21"/>
          <w:szCs w:val="24"/>
          <w:lang w:val="en-US" w:eastAsia="zh-CN" w:bidi="ar-SA"/>
        </w:rPr>
        <w:br w:type="page"/>
      </w:r>
    </w:p>
    <w:p w14:paraId="139979EB">
      <w:pPr>
        <w:pStyle w:val="8"/>
        <w:rPr>
          <w:rFonts w:hint="eastAsia"/>
          <w:lang w:val="en-US" w:eastAsia="zh-CN"/>
        </w:rPr>
      </w:pPr>
      <w:r>
        <w:drawing>
          <wp:inline distT="0" distB="0" distL="114300" distR="114300">
            <wp:extent cx="5287645" cy="7523480"/>
            <wp:effectExtent l="0" t="0" r="8255" b="127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1"/>
                    <a:stretch>
                      <a:fillRect/>
                    </a:stretch>
                  </pic:blipFill>
                  <pic:spPr>
                    <a:xfrm>
                      <a:off x="0" y="0"/>
                      <a:ext cx="5287645" cy="7523480"/>
                    </a:xfrm>
                    <a:prstGeom prst="rect">
                      <a:avLst/>
                    </a:prstGeom>
                    <a:noFill/>
                    <a:ln>
                      <a:noFill/>
                    </a:ln>
                  </pic:spPr>
                </pic:pic>
              </a:graphicData>
            </a:graphic>
          </wp:inline>
        </w:drawing>
      </w:r>
    </w:p>
    <w:p w14:paraId="3063B77D">
      <w:pPr>
        <w:rPr>
          <w:rFonts w:hint="eastAsia"/>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C4CDAE"/>
    <w:multiLevelType w:val="singleLevel"/>
    <w:tmpl w:val="09C4CDAE"/>
    <w:lvl w:ilvl="0" w:tentative="0">
      <w:start w:val="2"/>
      <w:numFmt w:val="decimal"/>
      <w:suff w:val="nothing"/>
      <w:lvlText w:val="%1）"/>
      <w:lvlJc w:val="left"/>
    </w:lvl>
  </w:abstractNum>
  <w:abstractNum w:abstractNumId="1">
    <w:nsid w:val="5183855F"/>
    <w:multiLevelType w:val="singleLevel"/>
    <w:tmpl w:val="5183855F"/>
    <w:lvl w:ilvl="0" w:tentative="0">
      <w:start w:val="1"/>
      <w:numFmt w:val="chineseCounting"/>
      <w:pStyle w:val="44"/>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YThmZTViOGE1ZWVkN2ZmYjcyMzk1NTlmNjQ2YjIifQ=="/>
    <w:docVar w:name="KSO_WPS_MARK_KEY" w:val="f0c94484-18bf-41d0-a894-232196517eb0"/>
  </w:docVars>
  <w:rsids>
    <w:rsidRoot w:val="00E3751A"/>
    <w:rsid w:val="00047227"/>
    <w:rsid w:val="00303C12"/>
    <w:rsid w:val="003A7C06"/>
    <w:rsid w:val="004340C8"/>
    <w:rsid w:val="004D1AF7"/>
    <w:rsid w:val="005858BE"/>
    <w:rsid w:val="00756850"/>
    <w:rsid w:val="007A2261"/>
    <w:rsid w:val="00802085"/>
    <w:rsid w:val="008F01AE"/>
    <w:rsid w:val="00C75118"/>
    <w:rsid w:val="00C82162"/>
    <w:rsid w:val="00CC638A"/>
    <w:rsid w:val="00D40559"/>
    <w:rsid w:val="00E3751A"/>
    <w:rsid w:val="00FF47EE"/>
    <w:rsid w:val="01381A2C"/>
    <w:rsid w:val="030516AD"/>
    <w:rsid w:val="03463A74"/>
    <w:rsid w:val="03C37305"/>
    <w:rsid w:val="04334FFF"/>
    <w:rsid w:val="04543719"/>
    <w:rsid w:val="045937F4"/>
    <w:rsid w:val="04664971"/>
    <w:rsid w:val="04714B20"/>
    <w:rsid w:val="04D11406"/>
    <w:rsid w:val="04E23328"/>
    <w:rsid w:val="050505ED"/>
    <w:rsid w:val="06007F0A"/>
    <w:rsid w:val="062E2CC9"/>
    <w:rsid w:val="06EF6353"/>
    <w:rsid w:val="077559CB"/>
    <w:rsid w:val="07D32EB9"/>
    <w:rsid w:val="07E46E00"/>
    <w:rsid w:val="0814540D"/>
    <w:rsid w:val="08300409"/>
    <w:rsid w:val="08302FF8"/>
    <w:rsid w:val="08E81855"/>
    <w:rsid w:val="08ED0200"/>
    <w:rsid w:val="096769A3"/>
    <w:rsid w:val="096F1B10"/>
    <w:rsid w:val="09806C85"/>
    <w:rsid w:val="0A0E1339"/>
    <w:rsid w:val="0A173A74"/>
    <w:rsid w:val="0A4F7A65"/>
    <w:rsid w:val="0BC750FD"/>
    <w:rsid w:val="0D073DB5"/>
    <w:rsid w:val="0D081033"/>
    <w:rsid w:val="0E464272"/>
    <w:rsid w:val="0E564C35"/>
    <w:rsid w:val="0EC817E1"/>
    <w:rsid w:val="0F034133"/>
    <w:rsid w:val="0F1C6141"/>
    <w:rsid w:val="0FFD1618"/>
    <w:rsid w:val="10806817"/>
    <w:rsid w:val="10A546BD"/>
    <w:rsid w:val="10AE1BD9"/>
    <w:rsid w:val="10D96D50"/>
    <w:rsid w:val="12EB16AE"/>
    <w:rsid w:val="13697265"/>
    <w:rsid w:val="13FA1B12"/>
    <w:rsid w:val="141C622E"/>
    <w:rsid w:val="147F5532"/>
    <w:rsid w:val="156C314D"/>
    <w:rsid w:val="15CB68F5"/>
    <w:rsid w:val="16B10157"/>
    <w:rsid w:val="172548AA"/>
    <w:rsid w:val="172B1294"/>
    <w:rsid w:val="17505468"/>
    <w:rsid w:val="17550DB0"/>
    <w:rsid w:val="17810296"/>
    <w:rsid w:val="17C601C4"/>
    <w:rsid w:val="18301429"/>
    <w:rsid w:val="188D103C"/>
    <w:rsid w:val="190E35A0"/>
    <w:rsid w:val="191A70DD"/>
    <w:rsid w:val="19992B53"/>
    <w:rsid w:val="19CE23A1"/>
    <w:rsid w:val="19D014C8"/>
    <w:rsid w:val="19F45335"/>
    <w:rsid w:val="1A4E76A5"/>
    <w:rsid w:val="1ADA1B6B"/>
    <w:rsid w:val="1B63147C"/>
    <w:rsid w:val="1C3244B8"/>
    <w:rsid w:val="1C461987"/>
    <w:rsid w:val="1C4B6410"/>
    <w:rsid w:val="1C67088B"/>
    <w:rsid w:val="1C970306"/>
    <w:rsid w:val="1CD13F56"/>
    <w:rsid w:val="1CD14F1F"/>
    <w:rsid w:val="1CEA3399"/>
    <w:rsid w:val="1DA60EEB"/>
    <w:rsid w:val="1ED50FA6"/>
    <w:rsid w:val="1F0F5E71"/>
    <w:rsid w:val="1F142A61"/>
    <w:rsid w:val="1F2A023E"/>
    <w:rsid w:val="1F642D26"/>
    <w:rsid w:val="1FAC2BD1"/>
    <w:rsid w:val="1FF45CE7"/>
    <w:rsid w:val="20097618"/>
    <w:rsid w:val="2107263D"/>
    <w:rsid w:val="214C4107"/>
    <w:rsid w:val="21A13C43"/>
    <w:rsid w:val="22366385"/>
    <w:rsid w:val="224031F6"/>
    <w:rsid w:val="2282270A"/>
    <w:rsid w:val="229735F9"/>
    <w:rsid w:val="22AD2D70"/>
    <w:rsid w:val="23532900"/>
    <w:rsid w:val="23B37411"/>
    <w:rsid w:val="242E50EF"/>
    <w:rsid w:val="244E33BB"/>
    <w:rsid w:val="24775815"/>
    <w:rsid w:val="24D12D46"/>
    <w:rsid w:val="25FB3FD9"/>
    <w:rsid w:val="271635D9"/>
    <w:rsid w:val="27280E94"/>
    <w:rsid w:val="27F61196"/>
    <w:rsid w:val="28814447"/>
    <w:rsid w:val="297A3C20"/>
    <w:rsid w:val="298C1931"/>
    <w:rsid w:val="29925FE1"/>
    <w:rsid w:val="29C972C6"/>
    <w:rsid w:val="2AB26CD9"/>
    <w:rsid w:val="2BD9110B"/>
    <w:rsid w:val="2C9D3BC7"/>
    <w:rsid w:val="2CF2686E"/>
    <w:rsid w:val="2E9E272A"/>
    <w:rsid w:val="2EAE6403"/>
    <w:rsid w:val="31055C5A"/>
    <w:rsid w:val="3256187C"/>
    <w:rsid w:val="3259568C"/>
    <w:rsid w:val="32A66941"/>
    <w:rsid w:val="334B2415"/>
    <w:rsid w:val="339918AA"/>
    <w:rsid w:val="33BD2F62"/>
    <w:rsid w:val="341F407D"/>
    <w:rsid w:val="34BD4A82"/>
    <w:rsid w:val="351530F3"/>
    <w:rsid w:val="35211925"/>
    <w:rsid w:val="35524794"/>
    <w:rsid w:val="36577381"/>
    <w:rsid w:val="366115C7"/>
    <w:rsid w:val="37285AB1"/>
    <w:rsid w:val="375C6F30"/>
    <w:rsid w:val="3781684D"/>
    <w:rsid w:val="3823766B"/>
    <w:rsid w:val="396748BA"/>
    <w:rsid w:val="3A751F6D"/>
    <w:rsid w:val="3AB6680E"/>
    <w:rsid w:val="3AD61658"/>
    <w:rsid w:val="3ADD7367"/>
    <w:rsid w:val="3AF50232"/>
    <w:rsid w:val="3B251FB8"/>
    <w:rsid w:val="3B3712DA"/>
    <w:rsid w:val="3B622014"/>
    <w:rsid w:val="3C7D28D5"/>
    <w:rsid w:val="3CE43836"/>
    <w:rsid w:val="3D027FC2"/>
    <w:rsid w:val="3D3D4FC4"/>
    <w:rsid w:val="3D4729D1"/>
    <w:rsid w:val="3D6F337E"/>
    <w:rsid w:val="3DEB4A20"/>
    <w:rsid w:val="3E2D53F7"/>
    <w:rsid w:val="3E635211"/>
    <w:rsid w:val="3EB62D94"/>
    <w:rsid w:val="3EEC7F81"/>
    <w:rsid w:val="3FA71C20"/>
    <w:rsid w:val="3FDA2F9E"/>
    <w:rsid w:val="40606FB3"/>
    <w:rsid w:val="408A0869"/>
    <w:rsid w:val="40995D81"/>
    <w:rsid w:val="40BC0B84"/>
    <w:rsid w:val="40DC28F6"/>
    <w:rsid w:val="416C231C"/>
    <w:rsid w:val="41B906C9"/>
    <w:rsid w:val="41C84509"/>
    <w:rsid w:val="421E5E45"/>
    <w:rsid w:val="42305ED2"/>
    <w:rsid w:val="42355182"/>
    <w:rsid w:val="43120BD6"/>
    <w:rsid w:val="43B14016"/>
    <w:rsid w:val="43F50190"/>
    <w:rsid w:val="4432163F"/>
    <w:rsid w:val="44476729"/>
    <w:rsid w:val="4546743F"/>
    <w:rsid w:val="45A13141"/>
    <w:rsid w:val="46966FC2"/>
    <w:rsid w:val="47EE36B2"/>
    <w:rsid w:val="485E76F8"/>
    <w:rsid w:val="48AF6D87"/>
    <w:rsid w:val="49CE6C17"/>
    <w:rsid w:val="4CDE060B"/>
    <w:rsid w:val="4E3D5914"/>
    <w:rsid w:val="4E461B89"/>
    <w:rsid w:val="4F4C1097"/>
    <w:rsid w:val="4F540982"/>
    <w:rsid w:val="4F844CD5"/>
    <w:rsid w:val="4FF32FA8"/>
    <w:rsid w:val="50EA0B03"/>
    <w:rsid w:val="512A57AB"/>
    <w:rsid w:val="515A3854"/>
    <w:rsid w:val="5276471A"/>
    <w:rsid w:val="52CC47C0"/>
    <w:rsid w:val="52E07D49"/>
    <w:rsid w:val="5374510A"/>
    <w:rsid w:val="53F5005F"/>
    <w:rsid w:val="54BA1C16"/>
    <w:rsid w:val="563D2137"/>
    <w:rsid w:val="56836AB2"/>
    <w:rsid w:val="56BC2DE3"/>
    <w:rsid w:val="56D42C4D"/>
    <w:rsid w:val="57301D47"/>
    <w:rsid w:val="57487036"/>
    <w:rsid w:val="575D6537"/>
    <w:rsid w:val="57800B40"/>
    <w:rsid w:val="57CD2DFE"/>
    <w:rsid w:val="58244FE5"/>
    <w:rsid w:val="584B13F6"/>
    <w:rsid w:val="59217B49"/>
    <w:rsid w:val="59656964"/>
    <w:rsid w:val="59D926D2"/>
    <w:rsid w:val="5A034680"/>
    <w:rsid w:val="5AA52A54"/>
    <w:rsid w:val="5BC05975"/>
    <w:rsid w:val="5BD743DE"/>
    <w:rsid w:val="5D63281F"/>
    <w:rsid w:val="5D706898"/>
    <w:rsid w:val="5D731EE5"/>
    <w:rsid w:val="5D7C7100"/>
    <w:rsid w:val="5D89238E"/>
    <w:rsid w:val="5D8C28DB"/>
    <w:rsid w:val="5DA30A1C"/>
    <w:rsid w:val="5E3F6556"/>
    <w:rsid w:val="5E4A7A0E"/>
    <w:rsid w:val="5E8C3C37"/>
    <w:rsid w:val="5EBC6D64"/>
    <w:rsid w:val="5ED03402"/>
    <w:rsid w:val="5F182B4A"/>
    <w:rsid w:val="5F2E77A0"/>
    <w:rsid w:val="5FD163AE"/>
    <w:rsid w:val="60057BEA"/>
    <w:rsid w:val="60B44CEE"/>
    <w:rsid w:val="60B460AF"/>
    <w:rsid w:val="619747AF"/>
    <w:rsid w:val="621C336D"/>
    <w:rsid w:val="62A05F08"/>
    <w:rsid w:val="62EA5BC6"/>
    <w:rsid w:val="630737FB"/>
    <w:rsid w:val="63C25DAA"/>
    <w:rsid w:val="64126CC6"/>
    <w:rsid w:val="648F0582"/>
    <w:rsid w:val="64F540D9"/>
    <w:rsid w:val="6559245A"/>
    <w:rsid w:val="65622F6B"/>
    <w:rsid w:val="658C415A"/>
    <w:rsid w:val="65BD6D5B"/>
    <w:rsid w:val="66C53C4A"/>
    <w:rsid w:val="673B297E"/>
    <w:rsid w:val="678F323C"/>
    <w:rsid w:val="68233EA0"/>
    <w:rsid w:val="68A30209"/>
    <w:rsid w:val="68C86C57"/>
    <w:rsid w:val="6A3C5D07"/>
    <w:rsid w:val="6AA57F27"/>
    <w:rsid w:val="6B185020"/>
    <w:rsid w:val="6CC37EB5"/>
    <w:rsid w:val="6D1139EB"/>
    <w:rsid w:val="6D3457FF"/>
    <w:rsid w:val="6E2A4841"/>
    <w:rsid w:val="6EB73860"/>
    <w:rsid w:val="6EEF19E2"/>
    <w:rsid w:val="6F272686"/>
    <w:rsid w:val="6F3D1DEF"/>
    <w:rsid w:val="6F963F3C"/>
    <w:rsid w:val="6FE54B28"/>
    <w:rsid w:val="71276AD1"/>
    <w:rsid w:val="7160445C"/>
    <w:rsid w:val="71697143"/>
    <w:rsid w:val="716C6A50"/>
    <w:rsid w:val="7207397B"/>
    <w:rsid w:val="729E3A33"/>
    <w:rsid w:val="72C43B37"/>
    <w:rsid w:val="737D1DEA"/>
    <w:rsid w:val="748B2EA1"/>
    <w:rsid w:val="74AE0F56"/>
    <w:rsid w:val="76391AC6"/>
    <w:rsid w:val="7672193D"/>
    <w:rsid w:val="770403EE"/>
    <w:rsid w:val="771C50B0"/>
    <w:rsid w:val="771E190D"/>
    <w:rsid w:val="77832F9B"/>
    <w:rsid w:val="77C519A6"/>
    <w:rsid w:val="78302BF9"/>
    <w:rsid w:val="784004D1"/>
    <w:rsid w:val="78725E9B"/>
    <w:rsid w:val="7877129B"/>
    <w:rsid w:val="79302291"/>
    <w:rsid w:val="797D7F1B"/>
    <w:rsid w:val="799B33AA"/>
    <w:rsid w:val="79FE7AE0"/>
    <w:rsid w:val="7A083C89"/>
    <w:rsid w:val="7AA15E8B"/>
    <w:rsid w:val="7B424553"/>
    <w:rsid w:val="7BB96559"/>
    <w:rsid w:val="7C304A31"/>
    <w:rsid w:val="7C6520EB"/>
    <w:rsid w:val="7D1943FF"/>
    <w:rsid w:val="7D7347EF"/>
    <w:rsid w:val="7D9B14E2"/>
    <w:rsid w:val="7DB761A8"/>
    <w:rsid w:val="7DD52B5A"/>
    <w:rsid w:val="7E522673"/>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4"/>
    <w:next w:val="1"/>
    <w:autoRedefine/>
    <w:qFormat/>
    <w:uiPriority w:val="0"/>
    <w:pPr>
      <w:keepNext/>
      <w:keepLines/>
      <w:snapToGrid w:val="0"/>
      <w:spacing w:beforeLines="50" w:afterLines="50"/>
      <w:outlineLvl w:val="1"/>
    </w:pPr>
    <w:rPr>
      <w:rFonts w:eastAsia="楷体_GB2312" w:cs="MS Gothic"/>
      <w:snapToGrid w:val="0"/>
      <w:kern w:val="0"/>
      <w:sz w:val="32"/>
      <w:szCs w:val="28"/>
    </w:rPr>
  </w:style>
  <w:style w:type="paragraph" w:styleId="4">
    <w:name w:val="heading 3"/>
    <w:basedOn w:val="1"/>
    <w:next w:val="1"/>
    <w:autoRedefine/>
    <w:unhideWhenUsed/>
    <w:qFormat/>
    <w:uiPriority w:val="0"/>
    <w:pPr>
      <w:outlineLvl w:val="2"/>
    </w:pPr>
    <w:rPr>
      <w:rFonts w:asciiTheme="majorHAnsi" w:hAnsiTheme="majorHAnsi" w:eastAsiaTheme="majorEastAsia" w:cstheme="majorBidi"/>
      <w:b/>
      <w:bCs/>
      <w:sz w:val="28"/>
      <w:szCs w:val="32"/>
    </w:rPr>
  </w:style>
  <w:style w:type="paragraph" w:styleId="5">
    <w:name w:val="heading 4"/>
    <w:basedOn w:val="1"/>
    <w:next w:val="1"/>
    <w:autoRedefine/>
    <w:unhideWhenUsed/>
    <w:qFormat/>
    <w:uiPriority w:val="0"/>
    <w:pPr>
      <w:keepNext/>
      <w:keepLines/>
      <w:outlineLvl w:val="3"/>
    </w:pPr>
    <w:rPr>
      <w:b/>
    </w:rPr>
  </w:style>
  <w:style w:type="character" w:default="1" w:styleId="24">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7">
    <w:name w:val="annotation text"/>
    <w:basedOn w:val="1"/>
    <w:qFormat/>
    <w:uiPriority w:val="0"/>
    <w:pPr>
      <w:jc w:val="left"/>
    </w:pPr>
  </w:style>
  <w:style w:type="paragraph" w:styleId="8">
    <w:name w:val="Body Text"/>
    <w:basedOn w:val="1"/>
    <w:next w:val="1"/>
    <w:autoRedefine/>
    <w:qFormat/>
    <w:uiPriority w:val="99"/>
    <w:rPr>
      <w:sz w:val="28"/>
      <w:szCs w:val="28"/>
    </w:rPr>
  </w:style>
  <w:style w:type="paragraph" w:styleId="9">
    <w:name w:val="Body Text Indent"/>
    <w:basedOn w:val="1"/>
    <w:next w:val="8"/>
    <w:autoRedefine/>
    <w:unhideWhenUsed/>
    <w:qFormat/>
    <w:uiPriority w:val="99"/>
    <w:pPr>
      <w:spacing w:after="120"/>
      <w:ind w:left="420" w:leftChars="200"/>
    </w:pPr>
  </w:style>
  <w:style w:type="paragraph" w:styleId="10">
    <w:name w:val="toc 5"/>
    <w:basedOn w:val="1"/>
    <w:next w:val="1"/>
    <w:autoRedefine/>
    <w:semiHidden/>
    <w:qFormat/>
    <w:uiPriority w:val="0"/>
    <w:pPr>
      <w:ind w:left="1120"/>
      <w:jc w:val="left"/>
    </w:pPr>
    <w:rPr>
      <w:sz w:val="18"/>
      <w:szCs w:val="18"/>
    </w:rPr>
  </w:style>
  <w:style w:type="paragraph" w:styleId="11">
    <w:name w:val="Plain Text"/>
    <w:basedOn w:val="1"/>
    <w:autoRedefine/>
    <w:qFormat/>
    <w:uiPriority w:val="0"/>
    <w:rPr>
      <w:rFonts w:ascii="宋体" w:hAnsi="Courier New" w:cs="Courier New"/>
      <w:szCs w:val="21"/>
    </w:rPr>
  </w:style>
  <w:style w:type="paragraph" w:styleId="12">
    <w:name w:val="Date"/>
    <w:basedOn w:val="1"/>
    <w:next w:val="1"/>
    <w:link w:val="48"/>
    <w:autoRedefine/>
    <w:qFormat/>
    <w:uiPriority w:val="0"/>
    <w:pPr>
      <w:ind w:left="100" w:leftChars="2500"/>
    </w:pPr>
    <w:rPr>
      <w:rFonts w:ascii="Times New Roman" w:hAnsi="Times New Roman"/>
      <w:b/>
      <w:bCs/>
      <w:sz w:val="28"/>
    </w:rPr>
  </w:style>
  <w:style w:type="paragraph" w:styleId="13">
    <w:name w:val="Body Text Indent 2"/>
    <w:basedOn w:val="1"/>
    <w:autoRedefine/>
    <w:qFormat/>
    <w:uiPriority w:val="0"/>
    <w:pPr>
      <w:ind w:firstLine="538" w:firstLineChars="192"/>
    </w:pPr>
    <w:rPr>
      <w:rFonts w:ascii="宋体" w:hAnsi="宋体"/>
      <w:sz w:val="28"/>
    </w:rPr>
  </w:style>
  <w:style w:type="paragraph" w:styleId="14">
    <w:name w:val="Balloon Text"/>
    <w:basedOn w:val="1"/>
    <w:link w:val="34"/>
    <w:autoRedefine/>
    <w:qFormat/>
    <w:uiPriority w:val="0"/>
    <w:rPr>
      <w:sz w:val="18"/>
      <w:szCs w:val="18"/>
    </w:rPr>
  </w:style>
  <w:style w:type="paragraph" w:styleId="15">
    <w:name w:val="footer"/>
    <w:basedOn w:val="1"/>
    <w:next w:val="16"/>
    <w:autoRedefine/>
    <w:qFormat/>
    <w:uiPriority w:val="99"/>
    <w:pPr>
      <w:tabs>
        <w:tab w:val="center" w:pos="4153"/>
        <w:tab w:val="right" w:pos="8306"/>
      </w:tabs>
      <w:snapToGrid w:val="0"/>
    </w:pPr>
    <w:rPr>
      <w:sz w:val="18"/>
      <w:szCs w:val="18"/>
    </w:rPr>
  </w:style>
  <w:style w:type="paragraph" w:styleId="16">
    <w:name w:val="Normal (Web)"/>
    <w:basedOn w:val="1"/>
    <w:next w:val="17"/>
    <w:autoRedefine/>
    <w:qFormat/>
    <w:uiPriority w:val="0"/>
    <w:pPr>
      <w:spacing w:before="100" w:beforeAutospacing="1" w:after="100" w:afterAutospacing="1"/>
      <w:jc w:val="left"/>
    </w:pPr>
    <w:rPr>
      <w:kern w:val="0"/>
      <w:sz w:val="24"/>
    </w:rPr>
  </w:style>
  <w:style w:type="paragraph" w:customStyle="1" w:styleId="17">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8">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jc w:val="left"/>
    </w:pPr>
    <w:rPr>
      <w:rFonts w:ascii="宋体"/>
      <w:b/>
      <w:bCs/>
      <w:caps/>
      <w:sz w:val="20"/>
      <w:szCs w:val="20"/>
    </w:rPr>
  </w:style>
  <w:style w:type="paragraph" w:styleId="20">
    <w:name w:val="Body Text Indent 3"/>
    <w:basedOn w:val="1"/>
    <w:autoRedefine/>
    <w:qFormat/>
    <w:uiPriority w:val="0"/>
    <w:pPr>
      <w:ind w:firstLine="630"/>
    </w:pPr>
    <w:rPr>
      <w:rFonts w:ascii="Times New Roman" w:hAnsi="Times New Roman" w:eastAsia="仿宋_GB2312"/>
      <w:sz w:val="28"/>
    </w:rPr>
  </w:style>
  <w:style w:type="paragraph" w:styleId="21">
    <w:name w:val="Body Text First Indent"/>
    <w:basedOn w:val="8"/>
    <w:next w:val="1"/>
    <w:autoRedefine/>
    <w:qFormat/>
    <w:uiPriority w:val="0"/>
    <w:pPr>
      <w:spacing w:after="120"/>
      <w:ind w:firstLine="420" w:firstLineChars="100"/>
    </w:pPr>
  </w:style>
  <w:style w:type="paragraph" w:styleId="22">
    <w:name w:val="Body Text First Indent 2"/>
    <w:basedOn w:val="8"/>
    <w:next w:val="1"/>
    <w:autoRedefine/>
    <w:unhideWhenUsed/>
    <w:qFormat/>
    <w:uiPriority w:val="99"/>
    <w:pPr>
      <w:ind w:firstLine="420" w:firstLineChars="200"/>
    </w:pPr>
  </w:style>
  <w:style w:type="character" w:styleId="25">
    <w:name w:val="annotation reference"/>
    <w:qFormat/>
    <w:uiPriority w:val="0"/>
    <w:rPr>
      <w:sz w:val="21"/>
      <w:szCs w:val="21"/>
    </w:rPr>
  </w:style>
  <w:style w:type="paragraph" w:customStyle="1" w:styleId="26">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Default"/>
    <w:basedOn w:val="28"/>
    <w:next w:val="22"/>
    <w:autoRedefine/>
    <w:qFormat/>
    <w:uiPriority w:val="0"/>
    <w:pPr>
      <w:autoSpaceDE w:val="0"/>
      <w:autoSpaceDN w:val="0"/>
    </w:pPr>
    <w:rPr>
      <w:rFonts w:hint="eastAsia" w:ascii="宋体"/>
      <w:sz w:val="24"/>
    </w:rPr>
  </w:style>
  <w:style w:type="paragraph" w:customStyle="1" w:styleId="2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正文2"/>
    <w:basedOn w:val="1"/>
    <w:autoRedefine/>
    <w:qFormat/>
    <w:uiPriority w:val="0"/>
    <w:pPr>
      <w:spacing w:line="440" w:lineRule="atLeast"/>
      <w:ind w:firstLine="567"/>
    </w:pPr>
    <w:rPr>
      <w:sz w:val="24"/>
      <w:szCs w:val="20"/>
    </w:rPr>
  </w:style>
  <w:style w:type="paragraph" w:customStyle="1" w:styleId="30">
    <w:name w:val="样式 首行缩进:  2 字符"/>
    <w:basedOn w:val="1"/>
    <w:next w:val="1"/>
    <w:autoRedefine/>
    <w:qFormat/>
    <w:uiPriority w:val="0"/>
    <w:pPr>
      <w:widowControl/>
      <w:tabs>
        <w:tab w:val="left" w:pos="0"/>
      </w:tabs>
      <w:spacing w:line="560" w:lineRule="exact"/>
      <w:ind w:firstLine="560" w:firstLineChars="200"/>
      <w:jc w:val="left"/>
    </w:pPr>
    <w:rPr>
      <w:rFonts w:ascii="宋体" w:hAnsi="宋体" w:eastAsia="仿宋_GB2312" w:cs="宋体"/>
      <w:spacing w:val="12"/>
      <w:kern w:val="0"/>
      <w:sz w:val="28"/>
      <w:szCs w:val="20"/>
    </w:rPr>
  </w:style>
  <w:style w:type="paragraph" w:customStyle="1" w:styleId="31">
    <w:name w:val="li_正文"/>
    <w:basedOn w:val="1"/>
    <w:autoRedefine/>
    <w:qFormat/>
    <w:uiPriority w:val="0"/>
    <w:pPr>
      <w:topLinePunct/>
      <w:adjustRightInd w:val="0"/>
      <w:snapToGrid w:val="0"/>
      <w:spacing w:line="360" w:lineRule="auto"/>
      <w:ind w:firstLine="700" w:firstLineChars="250"/>
    </w:pPr>
    <w:rPr>
      <w:rFonts w:ascii="宋体" w:hAnsi="宋体"/>
      <w:sz w:val="28"/>
      <w:szCs w:val="28"/>
    </w:rPr>
  </w:style>
  <w:style w:type="paragraph" w:customStyle="1" w:styleId="32">
    <w:name w:val="样式 标题 2"/>
    <w:basedOn w:val="3"/>
    <w:autoRedefine/>
    <w:qFormat/>
    <w:uiPriority w:val="0"/>
    <w:pPr>
      <w:spacing w:beforeLines="0" w:afterLines="0"/>
    </w:pPr>
    <w:rPr>
      <w:rFonts w:ascii="Arial" w:hAnsi="Arial" w:eastAsia="宋体" w:cs="宋体"/>
      <w:snapToGrid/>
      <w:kern w:val="2"/>
      <w:szCs w:val="32"/>
      <w:lang w:val="zh-CN"/>
    </w:rPr>
  </w:style>
  <w:style w:type="paragraph" w:customStyle="1" w:styleId="33">
    <w:name w:val="p0"/>
    <w:basedOn w:val="1"/>
    <w:autoRedefine/>
    <w:qFormat/>
    <w:uiPriority w:val="0"/>
    <w:pPr>
      <w:widowControl/>
    </w:pPr>
    <w:rPr>
      <w:kern w:val="0"/>
      <w:szCs w:val="21"/>
    </w:rPr>
  </w:style>
  <w:style w:type="character" w:customStyle="1" w:styleId="34">
    <w:name w:val="批注框文本 字符"/>
    <w:basedOn w:val="24"/>
    <w:link w:val="14"/>
    <w:autoRedefine/>
    <w:qFormat/>
    <w:uiPriority w:val="0"/>
    <w:rPr>
      <w:rFonts w:ascii="Calibri" w:hAnsi="Calibri"/>
      <w:kern w:val="2"/>
      <w:sz w:val="18"/>
      <w:szCs w:val="18"/>
    </w:rPr>
  </w:style>
  <w:style w:type="paragraph" w:customStyle="1" w:styleId="35">
    <w:name w:val="111"/>
    <w:basedOn w:val="1"/>
    <w:autoRedefine/>
    <w:qFormat/>
    <w:uiPriority w:val="99"/>
    <w:pPr>
      <w:widowControl/>
      <w:tabs>
        <w:tab w:val="left" w:pos="0"/>
      </w:tabs>
      <w:spacing w:before="100" w:beforeAutospacing="1" w:after="100" w:afterAutospacing="1"/>
      <w:jc w:val="left"/>
    </w:pPr>
    <w:rPr>
      <w:rFonts w:ascii="宋体" w:hAnsi="宋体" w:cs="宋体"/>
      <w:kern w:val="0"/>
      <w:sz w:val="24"/>
    </w:rPr>
  </w:style>
  <w:style w:type="character" w:customStyle="1" w:styleId="36">
    <w:name w:val="表头 Char Char Char"/>
    <w:basedOn w:val="24"/>
    <w:autoRedefine/>
    <w:qFormat/>
    <w:uiPriority w:val="0"/>
    <w:rPr>
      <w:rFonts w:ascii="宋体" w:hAnsi="Tahoma" w:eastAsia="宋体"/>
      <w:snapToGrid w:val="0"/>
      <w:spacing w:val="6"/>
      <w:kern w:val="10"/>
      <w:sz w:val="24"/>
    </w:rPr>
  </w:style>
  <w:style w:type="paragraph" w:customStyle="1" w:styleId="37">
    <w:name w:val="表格居中"/>
    <w:basedOn w:val="38"/>
    <w:autoRedefine/>
    <w:qFormat/>
    <w:uiPriority w:val="0"/>
    <w:pPr>
      <w:jc w:val="center"/>
    </w:pPr>
  </w:style>
  <w:style w:type="paragraph" w:customStyle="1" w:styleId="38">
    <w:name w:val="表格一"/>
    <w:basedOn w:val="1"/>
    <w:autoRedefine/>
    <w:qFormat/>
    <w:uiPriority w:val="0"/>
    <w:pPr>
      <w:autoSpaceDE w:val="0"/>
      <w:autoSpaceDN w:val="0"/>
      <w:adjustRightInd w:val="0"/>
      <w:snapToGrid w:val="0"/>
      <w:spacing w:line="240" w:lineRule="atLeast"/>
      <w:jc w:val="left"/>
    </w:pPr>
    <w:rPr>
      <w:rFonts w:hAnsi="宋体"/>
      <w:color w:val="000000"/>
      <w:kern w:val="1"/>
      <w:szCs w:val="21"/>
    </w:rPr>
  </w:style>
  <w:style w:type="paragraph" w:customStyle="1" w:styleId="39">
    <w:name w:val="伟灿工贸-表格文字"/>
    <w:basedOn w:val="1"/>
    <w:autoRedefine/>
    <w:qFormat/>
    <w:uiPriority w:val="0"/>
    <w:pPr>
      <w:jc w:val="center"/>
    </w:pPr>
    <w:rPr>
      <w:rFonts w:hint="eastAsia" w:ascii="宋体" w:hAnsi="宋体" w:cs="宋体"/>
      <w:szCs w:val="21"/>
    </w:rPr>
  </w:style>
  <w:style w:type="paragraph" w:customStyle="1" w:styleId="40">
    <w:name w:val="QQ表正文"/>
    <w:basedOn w:val="1"/>
    <w:autoRedefine/>
    <w:qFormat/>
    <w:uiPriority w:val="0"/>
    <w:pPr>
      <w:widowControl/>
      <w:snapToGrid w:val="0"/>
      <w:spacing w:after="120" w:line="520" w:lineRule="exact"/>
      <w:ind w:firstLine="480" w:firstLineChars="200"/>
    </w:pPr>
    <w:rPr>
      <w:rFonts w:ascii="Times New Roman" w:hAnsiTheme="minorHAnsi" w:eastAsiaTheme="minorEastAsia" w:cstheme="minorBidi"/>
      <w:kern w:val="0"/>
      <w:sz w:val="28"/>
      <w:szCs w:val="21"/>
    </w:rPr>
  </w:style>
  <w:style w:type="paragraph" w:customStyle="1" w:styleId="41">
    <w:name w:val="表名、图名"/>
    <w:basedOn w:val="1"/>
    <w:next w:val="1"/>
    <w:autoRedefine/>
    <w:qFormat/>
    <w:uiPriority w:val="0"/>
    <w:pPr>
      <w:jc w:val="center"/>
    </w:pPr>
    <w:rPr>
      <w:b/>
      <w:bCs/>
    </w:rPr>
  </w:style>
  <w:style w:type="paragraph" w:customStyle="1" w:styleId="42">
    <w:name w:val="标题 三"/>
    <w:basedOn w:val="1"/>
    <w:autoRedefine/>
    <w:qFormat/>
    <w:uiPriority w:val="0"/>
    <w:pPr>
      <w:tabs>
        <w:tab w:val="left" w:pos="3544"/>
      </w:tabs>
      <w:snapToGrid w:val="0"/>
      <w:spacing w:line="360" w:lineRule="auto"/>
      <w:outlineLvl w:val="2"/>
    </w:pPr>
    <w:rPr>
      <w:rFonts w:ascii="宋体" w:hAnsi="宋体"/>
      <w:b/>
      <w:bCs/>
      <w:sz w:val="28"/>
      <w:szCs w:val="28"/>
    </w:rPr>
  </w:style>
  <w:style w:type="paragraph" w:customStyle="1" w:styleId="43">
    <w:name w:val="ENFI正文"/>
    <w:basedOn w:val="1"/>
    <w:autoRedefine/>
    <w:qFormat/>
    <w:uiPriority w:val="0"/>
    <w:pPr>
      <w:adjustRightInd w:val="0"/>
      <w:snapToGrid w:val="0"/>
      <w:ind w:firstLine="567"/>
    </w:pPr>
    <w:rPr>
      <w:rFonts w:eastAsia="仿宋_GB2312"/>
      <w:snapToGrid w:val="0"/>
      <w:color w:val="000000"/>
      <w:kern w:val="0"/>
      <w:sz w:val="28"/>
    </w:rPr>
  </w:style>
  <w:style w:type="paragraph" w:customStyle="1" w:styleId="44">
    <w:name w:val="工艺序号"/>
    <w:basedOn w:val="1"/>
    <w:autoRedefine/>
    <w:qFormat/>
    <w:uiPriority w:val="0"/>
    <w:pPr>
      <w:numPr>
        <w:ilvl w:val="0"/>
        <w:numId w:val="1"/>
      </w:numPr>
    </w:pPr>
    <w:rPr>
      <w:b/>
      <w:bCs/>
    </w:rPr>
  </w:style>
  <w:style w:type="paragraph" w:customStyle="1" w:styleId="45">
    <w:name w:val="伟灿-表格文字"/>
    <w:basedOn w:val="1"/>
    <w:autoRedefine/>
    <w:qFormat/>
    <w:uiPriority w:val="0"/>
    <w:pPr>
      <w:jc w:val="center"/>
    </w:pPr>
    <w:rPr>
      <w:rFonts w:hint="eastAsia" w:ascii="宋体" w:hAnsi="宋体" w:cs="宋体"/>
      <w:szCs w:val="21"/>
    </w:rPr>
  </w:style>
  <w:style w:type="paragraph" w:styleId="46">
    <w:name w:val="List Paragraph"/>
    <w:basedOn w:val="1"/>
    <w:autoRedefine/>
    <w:qFormat/>
    <w:uiPriority w:val="99"/>
    <w:pPr>
      <w:ind w:firstLine="420" w:firstLineChars="200"/>
    </w:pPr>
  </w:style>
  <w:style w:type="paragraph" w:customStyle="1" w:styleId="47">
    <w:name w:val="表格1（标题）"/>
    <w:basedOn w:val="1"/>
    <w:autoRedefine/>
    <w:qFormat/>
    <w:uiPriority w:val="0"/>
    <w:pPr>
      <w:widowControl/>
      <w:suppressAutoHyphens/>
      <w:adjustRightInd w:val="0"/>
      <w:snapToGrid w:val="0"/>
      <w:spacing w:line="360" w:lineRule="auto"/>
      <w:jc w:val="center"/>
      <w:textAlignment w:val="center"/>
      <w:outlineLvl w:val="8"/>
    </w:pPr>
    <w:rPr>
      <w:rFonts w:ascii="Times New Roman" w:hAnsi="Times New Roman" w:cs="黑体"/>
      <w:b/>
      <w:bCs/>
      <w:color w:val="000000"/>
      <w:kern w:val="21"/>
      <w:sz w:val="24"/>
    </w:rPr>
  </w:style>
  <w:style w:type="character" w:customStyle="1" w:styleId="48">
    <w:name w:val="日期 字符"/>
    <w:basedOn w:val="24"/>
    <w:link w:val="12"/>
    <w:autoRedefine/>
    <w:qFormat/>
    <w:uiPriority w:val="0"/>
    <w:rPr>
      <w:b/>
      <w:bCs/>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7</Pages>
  <Words>1332</Words>
  <Characters>1611</Characters>
  <Lines>8</Lines>
  <Paragraphs>2</Paragraphs>
  <TotalTime>2</TotalTime>
  <ScaleCrop>false</ScaleCrop>
  <LinksUpToDate>false</LinksUpToDate>
  <CharactersWithSpaces>1613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叶子</cp:lastModifiedBy>
  <dcterms:modified xsi:type="dcterms:W3CDTF">2026-10-13T06:26:28Z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F03053999FB641ED9355B68B7EFBE263_13</vt:lpwstr>
  </property>
  <property fmtid="{D5CDD505-2E9C-101B-9397-08002B2CF9AE}" pid="4" name="KSOTemplateDocerSaveRecord">
    <vt:lpwstr>eyJoZGlkIjoiNDgzMjdiZTZhYWEwMDUyMzMwMzdhZWM2ZmNjMGMzMDkiLCJ1c2VySWQiOiI1NzcyNjAwMzgifQ==</vt:lpwstr>
  </property>
</Properties>
</file>