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1B523">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1751"/>
        <w:gridCol w:w="1798"/>
        <w:gridCol w:w="3816"/>
        <w:gridCol w:w="1874"/>
      </w:tblGrid>
      <w:tr w14:paraId="3C3E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A6F8A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项目名称</w:t>
            </w:r>
          </w:p>
        </w:tc>
        <w:tc>
          <w:tcPr>
            <w:tcW w:w="7488" w:type="dxa"/>
            <w:gridSpan w:val="3"/>
            <w:tcBorders>
              <w:tl2br w:val="nil"/>
              <w:tr2bl w:val="nil"/>
            </w:tcBorders>
            <w:shd w:val="clear" w:color="auto" w:fill="FFFFFF"/>
            <w:vAlign w:val="center"/>
          </w:tcPr>
          <w:p w14:paraId="3A44F5A4">
            <w:pPr>
              <w:widowControl/>
              <w:spacing w:after="150"/>
              <w:jc w:val="center"/>
              <w:rPr>
                <w:rFonts w:hint="eastAsia" w:ascii="宋体" w:hAnsi="宋体" w:cs="宋体"/>
                <w:sz w:val="24"/>
                <w:szCs w:val="24"/>
                <w:lang w:val="en-US" w:eastAsia="zh-CN"/>
              </w:rPr>
            </w:pPr>
            <w:r>
              <w:rPr>
                <w:rFonts w:hint="eastAsia" w:ascii="宋体" w:hAnsi="宋体" w:cs="宋体"/>
                <w:sz w:val="24"/>
                <w:szCs w:val="24"/>
                <w:lang w:val="en-US" w:eastAsia="zh-CN"/>
              </w:rPr>
              <w:t>陕西延长石油铜川石化贸易有限公司锦阳新城城市便利加油站分公司</w:t>
            </w:r>
          </w:p>
          <w:p w14:paraId="53D43712">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安全现状评价</w:t>
            </w:r>
          </w:p>
        </w:tc>
      </w:tr>
      <w:tr w14:paraId="47A5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6D93D3F">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完成时间</w:t>
            </w:r>
          </w:p>
        </w:tc>
        <w:tc>
          <w:tcPr>
            <w:tcW w:w="7488" w:type="dxa"/>
            <w:gridSpan w:val="3"/>
            <w:tcBorders>
              <w:tl2br w:val="nil"/>
              <w:tr2bl w:val="nil"/>
            </w:tcBorders>
            <w:shd w:val="clear" w:color="auto" w:fill="FFFFFF"/>
            <w:vAlign w:val="center"/>
          </w:tcPr>
          <w:p w14:paraId="29A29BE4">
            <w:pPr>
              <w:widowControl/>
              <w:spacing w:after="150"/>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2026.2</w:t>
            </w:r>
          </w:p>
        </w:tc>
      </w:tr>
      <w:tr w14:paraId="096CA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9239" w:type="dxa"/>
            <w:gridSpan w:val="4"/>
            <w:tcBorders>
              <w:tl2br w:val="nil"/>
              <w:tr2bl w:val="nil"/>
            </w:tcBorders>
            <w:shd w:val="clear" w:color="auto" w:fill="FFFFFF"/>
            <w:vAlign w:val="center"/>
          </w:tcPr>
          <w:p w14:paraId="399D40FE">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评价人员</w:t>
            </w:r>
          </w:p>
        </w:tc>
      </w:tr>
      <w:tr w14:paraId="4AE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4BBB96CC">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052116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姓名</w:t>
            </w:r>
          </w:p>
        </w:tc>
        <w:tc>
          <w:tcPr>
            <w:tcW w:w="3816" w:type="dxa"/>
            <w:tcBorders>
              <w:tl2br w:val="nil"/>
              <w:tr2bl w:val="nil"/>
            </w:tcBorders>
            <w:shd w:val="clear" w:color="auto" w:fill="FFFFFF"/>
            <w:vAlign w:val="center"/>
          </w:tcPr>
          <w:p w14:paraId="111227FB">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资格证书号</w:t>
            </w:r>
          </w:p>
        </w:tc>
        <w:tc>
          <w:tcPr>
            <w:tcW w:w="1874" w:type="dxa"/>
            <w:tcBorders>
              <w:tl2br w:val="nil"/>
              <w:tr2bl w:val="nil"/>
            </w:tcBorders>
            <w:shd w:val="clear" w:color="auto" w:fill="FFFFFF"/>
            <w:vAlign w:val="center"/>
          </w:tcPr>
          <w:p w14:paraId="43BB4CC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从业号</w:t>
            </w:r>
          </w:p>
        </w:tc>
      </w:tr>
      <w:tr w14:paraId="34A3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30" w:hRule="atLeast"/>
          <w:jc w:val="center"/>
        </w:trPr>
        <w:tc>
          <w:tcPr>
            <w:tcW w:w="1751" w:type="dxa"/>
            <w:tcBorders>
              <w:tl2br w:val="nil"/>
              <w:tr2bl w:val="nil"/>
            </w:tcBorders>
            <w:shd w:val="clear" w:color="auto" w:fill="FFFFFF"/>
            <w:vAlign w:val="center"/>
          </w:tcPr>
          <w:p w14:paraId="579D971F">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项目负责人</w:t>
            </w:r>
          </w:p>
        </w:tc>
        <w:tc>
          <w:tcPr>
            <w:tcW w:w="1798" w:type="dxa"/>
            <w:tcBorders>
              <w:tl2br w:val="nil"/>
              <w:tr2bl w:val="nil"/>
            </w:tcBorders>
            <w:shd w:val="clear" w:color="auto" w:fill="FFFFFF"/>
            <w:vAlign w:val="center"/>
          </w:tcPr>
          <w:p w14:paraId="0628AC05">
            <w:pPr>
              <w:spacing w:before="156" w:beforeLines="50" w:after="156" w:afterLines="50" w:line="400" w:lineRule="exact"/>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color w:val="auto"/>
                <w:kern w:val="2"/>
                <w:sz w:val="24"/>
                <w:szCs w:val="22"/>
                <w:highlight w:val="none"/>
                <w:lang w:val="en-US" w:eastAsia="zh-CN" w:bidi="ar-SA"/>
              </w:rPr>
              <w:t>赵  艳</w:t>
            </w:r>
          </w:p>
        </w:tc>
        <w:tc>
          <w:tcPr>
            <w:tcW w:w="3816" w:type="dxa"/>
            <w:tcBorders>
              <w:tl2br w:val="nil"/>
              <w:tr2bl w:val="nil"/>
            </w:tcBorders>
            <w:shd w:val="clear" w:color="auto" w:fill="FFFFFF"/>
            <w:vAlign w:val="center"/>
          </w:tcPr>
          <w:p w14:paraId="449802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1600000000201154</w:t>
            </w:r>
          </w:p>
        </w:tc>
        <w:tc>
          <w:tcPr>
            <w:tcW w:w="1874" w:type="dxa"/>
            <w:tcBorders>
              <w:tl2br w:val="nil"/>
              <w:tr2bl w:val="nil"/>
            </w:tcBorders>
            <w:shd w:val="clear" w:color="auto" w:fill="FFFFFF"/>
            <w:vAlign w:val="center"/>
          </w:tcPr>
          <w:p w14:paraId="55283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eastAsia" w:ascii="Times New Roman" w:hAnsi="Times New Roman" w:eastAsia="等线" w:cs="Times New Roman"/>
                <w:caps w:val="0"/>
                <w:smallCaps w:val="0"/>
                <w:color w:val="auto"/>
                <w:spacing w:val="-4"/>
                <w:kern w:val="0"/>
                <w:sz w:val="24"/>
                <w:szCs w:val="22"/>
                <w:highlight w:val="none"/>
                <w:lang w:val="en-US" w:eastAsia="zh-CN" w:bidi="ar-SA"/>
              </w:rPr>
            </w:pPr>
            <w:r>
              <w:rPr>
                <w:rFonts w:hint="eastAsia" w:ascii="Times New Roman" w:hAnsi="Times New Roman" w:eastAsia="等线" w:cs="Times New Roman"/>
                <w:caps w:val="0"/>
                <w:smallCaps w:val="0"/>
                <w:color w:val="auto"/>
                <w:spacing w:val="-4"/>
                <w:kern w:val="0"/>
                <w:sz w:val="24"/>
                <w:szCs w:val="22"/>
                <w:highlight w:val="none"/>
                <w:lang w:val="en-US" w:eastAsia="zh-CN" w:bidi="ar-SA"/>
              </w:rPr>
              <w:t>021833</w:t>
            </w:r>
          </w:p>
        </w:tc>
      </w:tr>
      <w:tr w14:paraId="7D09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35" w:hRule="atLeast"/>
          <w:jc w:val="center"/>
        </w:trPr>
        <w:tc>
          <w:tcPr>
            <w:tcW w:w="1751" w:type="dxa"/>
            <w:vMerge w:val="restart"/>
            <w:tcBorders>
              <w:tl2br w:val="nil"/>
              <w:tr2bl w:val="nil"/>
            </w:tcBorders>
            <w:shd w:val="clear" w:color="auto" w:fill="FFFFFF"/>
            <w:vAlign w:val="center"/>
          </w:tcPr>
          <w:p w14:paraId="590B5448">
            <w:pPr>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项目组成员</w:t>
            </w:r>
          </w:p>
        </w:tc>
        <w:tc>
          <w:tcPr>
            <w:tcW w:w="1798" w:type="dxa"/>
            <w:tcBorders>
              <w:tl2br w:val="nil"/>
              <w:tr2bl w:val="nil"/>
            </w:tcBorders>
            <w:shd w:val="clear" w:color="auto" w:fill="FFFFFF"/>
            <w:vAlign w:val="center"/>
          </w:tcPr>
          <w:p w14:paraId="1BCEF7B9">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lang w:val="en-US" w:eastAsia="zh-CN"/>
              </w:rPr>
              <w:t>贾延伟</w:t>
            </w:r>
          </w:p>
        </w:tc>
        <w:tc>
          <w:tcPr>
            <w:tcW w:w="3816" w:type="dxa"/>
            <w:tcBorders>
              <w:tl2br w:val="nil"/>
              <w:tr2bl w:val="nil"/>
            </w:tcBorders>
            <w:shd w:val="clear" w:color="auto" w:fill="FFFFFF"/>
            <w:vAlign w:val="center"/>
          </w:tcPr>
          <w:p w14:paraId="671BB301">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eastAsia="仿宋_GB2312" w:cs="Times New Roman"/>
                <w:color w:val="auto"/>
                <w:sz w:val="24"/>
                <w:szCs w:val="20"/>
                <w:lang w:val="en-US" w:eastAsia="zh-CN"/>
              </w:rPr>
              <w:t>1917000000103995</w:t>
            </w:r>
          </w:p>
        </w:tc>
        <w:tc>
          <w:tcPr>
            <w:tcW w:w="1874" w:type="dxa"/>
            <w:tcBorders>
              <w:tl2br w:val="nil"/>
              <w:tr2bl w:val="nil"/>
            </w:tcBorders>
            <w:shd w:val="clear" w:color="auto" w:fill="FFFFFF"/>
            <w:vAlign w:val="center"/>
          </w:tcPr>
          <w:p w14:paraId="6301F882">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01132660</w:t>
            </w:r>
          </w:p>
        </w:tc>
      </w:tr>
      <w:tr w14:paraId="20E5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67" w:hRule="atLeast"/>
          <w:jc w:val="center"/>
        </w:trPr>
        <w:tc>
          <w:tcPr>
            <w:tcW w:w="1751" w:type="dxa"/>
            <w:vMerge w:val="continue"/>
            <w:tcBorders>
              <w:tl2br w:val="nil"/>
              <w:tr2bl w:val="nil"/>
            </w:tcBorders>
            <w:shd w:val="clear" w:color="auto" w:fill="FFFFFF"/>
            <w:vAlign w:val="center"/>
          </w:tcPr>
          <w:p w14:paraId="46175124">
            <w:pPr>
              <w:jc w:val="center"/>
              <w:rPr>
                <w:rFonts w:hint="eastAsia" w:ascii="宋体" w:hAnsi="宋体" w:eastAsia="宋体" w:cs="宋体"/>
                <w:kern w:val="2"/>
                <w:sz w:val="24"/>
                <w:szCs w:val="24"/>
                <w:lang w:val="en-US" w:eastAsia="zh-CN" w:bidi="ar-SA"/>
              </w:rPr>
            </w:pPr>
          </w:p>
        </w:tc>
        <w:tc>
          <w:tcPr>
            <w:tcW w:w="1798" w:type="dxa"/>
            <w:tcBorders>
              <w:tl2br w:val="nil"/>
              <w:tr2bl w:val="nil"/>
            </w:tcBorders>
            <w:shd w:val="clear" w:color="auto" w:fill="FFFFFF"/>
            <w:vAlign w:val="center"/>
          </w:tcPr>
          <w:p w14:paraId="39A79C6C">
            <w:pPr>
              <w:widowControl/>
              <w:adjustRightInd w:val="0"/>
              <w:snapToGrid w:val="0"/>
              <w:spacing w:line="360" w:lineRule="exact"/>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0"/>
              </w:rPr>
              <w:t>张志辉</w:t>
            </w:r>
          </w:p>
        </w:tc>
        <w:tc>
          <w:tcPr>
            <w:tcW w:w="3816" w:type="dxa"/>
            <w:tcBorders>
              <w:tl2br w:val="nil"/>
              <w:tr2bl w:val="nil"/>
            </w:tcBorders>
            <w:shd w:val="clear" w:color="auto" w:fill="FFFFFF"/>
            <w:vAlign w:val="center"/>
          </w:tcPr>
          <w:p w14:paraId="0A17CD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4"/>
                <w:kern w:val="0"/>
                <w:sz w:val="24"/>
                <w:szCs w:val="24"/>
                <w:lang w:val="en-US" w:eastAsia="zh-CN" w:bidi="ar-SA"/>
              </w:rPr>
            </w:pPr>
            <w:r>
              <w:rPr>
                <w:rFonts w:hint="eastAsia" w:ascii="Times New Roman" w:hAnsi="Times New Roman" w:cs="Times New Roman"/>
                <w:color w:val="auto"/>
                <w:spacing w:val="-4"/>
                <w:kern w:val="0"/>
                <w:sz w:val="24"/>
                <w:szCs w:val="24"/>
                <w:lang w:val="en-US" w:eastAsia="zh-CN"/>
              </w:rPr>
              <w:t>20211004615000001171</w:t>
            </w:r>
          </w:p>
        </w:tc>
        <w:tc>
          <w:tcPr>
            <w:tcW w:w="1874" w:type="dxa"/>
            <w:tcBorders>
              <w:tl2br w:val="nil"/>
              <w:tr2bl w:val="nil"/>
            </w:tcBorders>
            <w:shd w:val="clear" w:color="auto" w:fill="FFFFFF"/>
            <w:vAlign w:val="center"/>
          </w:tcPr>
          <w:p w14:paraId="5DB20A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152203</w:t>
            </w:r>
          </w:p>
          <w:p w14:paraId="322D53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sz w:val="24"/>
                <w:szCs w:val="24"/>
                <w:lang w:val="en-US" w:eastAsia="zh-CN"/>
              </w:rPr>
              <w:t>06682</w:t>
            </w:r>
          </w:p>
        </w:tc>
      </w:tr>
      <w:tr w14:paraId="41BD6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99" w:hRule="atLeast"/>
          <w:jc w:val="center"/>
        </w:trPr>
        <w:tc>
          <w:tcPr>
            <w:tcW w:w="1751" w:type="dxa"/>
            <w:vMerge w:val="continue"/>
            <w:tcBorders>
              <w:tl2br w:val="nil"/>
              <w:tr2bl w:val="nil"/>
            </w:tcBorders>
            <w:shd w:val="clear" w:color="auto" w:fill="FFFFFF"/>
            <w:vAlign w:val="center"/>
          </w:tcPr>
          <w:p w14:paraId="417F6425">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2A86B32D">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lang w:val="en-US" w:eastAsia="zh-CN"/>
              </w:rPr>
              <w:t>周巧云</w:t>
            </w:r>
          </w:p>
        </w:tc>
        <w:tc>
          <w:tcPr>
            <w:tcW w:w="3816" w:type="dxa"/>
            <w:tcBorders>
              <w:tl2br w:val="nil"/>
              <w:tr2bl w:val="nil"/>
            </w:tcBorders>
            <w:shd w:val="clear" w:color="auto" w:fill="FFFFFF"/>
            <w:vAlign w:val="center"/>
          </w:tcPr>
          <w:p w14:paraId="19E7244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20231004632000007942</w:t>
            </w:r>
          </w:p>
        </w:tc>
        <w:tc>
          <w:tcPr>
            <w:tcW w:w="1874" w:type="dxa"/>
            <w:tcBorders>
              <w:tl2br w:val="nil"/>
              <w:tr2bl w:val="nil"/>
            </w:tcBorders>
            <w:shd w:val="clear" w:color="auto" w:fill="FFFFFF"/>
            <w:vAlign w:val="center"/>
          </w:tcPr>
          <w:p w14:paraId="1D98D546">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322403</w:t>
            </w:r>
          </w:p>
          <w:p w14:paraId="799BC946">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86462</w:t>
            </w:r>
          </w:p>
        </w:tc>
      </w:tr>
      <w:tr w14:paraId="6F6B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80" w:hRule="atLeast"/>
          <w:jc w:val="center"/>
        </w:trPr>
        <w:tc>
          <w:tcPr>
            <w:tcW w:w="1751" w:type="dxa"/>
            <w:vMerge w:val="continue"/>
            <w:tcBorders>
              <w:tl2br w:val="nil"/>
              <w:tr2bl w:val="nil"/>
            </w:tcBorders>
            <w:shd w:val="clear" w:color="auto" w:fill="FFFFFF"/>
            <w:vAlign w:val="center"/>
          </w:tcPr>
          <w:p w14:paraId="1EBC6719">
            <w:pPr>
              <w:jc w:val="center"/>
              <w:rPr>
                <w:rFonts w:hint="eastAsia" w:ascii="宋体" w:hAnsi="宋体" w:eastAsia="宋体" w:cs="宋体"/>
                <w:sz w:val="24"/>
                <w:szCs w:val="24"/>
              </w:rPr>
            </w:pPr>
          </w:p>
        </w:tc>
        <w:tc>
          <w:tcPr>
            <w:tcW w:w="1798" w:type="dxa"/>
            <w:tcBorders>
              <w:tl2br w:val="nil"/>
              <w:tr2bl w:val="nil"/>
            </w:tcBorders>
            <w:shd w:val="clear" w:color="auto" w:fill="FFFFFF"/>
            <w:vAlign w:val="center"/>
          </w:tcPr>
          <w:p w14:paraId="733F7FA1">
            <w:pPr>
              <w:widowControl/>
              <w:ind w:firstLine="0" w:firstLineChars="0"/>
              <w:jc w:val="center"/>
              <w:rPr>
                <w:rFonts w:hint="eastAsia" w:ascii="Times New Roman" w:hAnsi="Times New Roman" w:eastAsia="宋体" w:cs="Times New Roman"/>
                <w:color w:val="auto"/>
                <w:kern w:val="2"/>
                <w:sz w:val="24"/>
                <w:szCs w:val="24"/>
                <w:lang w:val="en-US" w:eastAsia="zh-CN" w:bidi="ar-SA"/>
              </w:rPr>
            </w:pPr>
            <w:r>
              <w:rPr>
                <w:rFonts w:hint="eastAsia"/>
                <w:sz w:val="24"/>
                <w:szCs w:val="20"/>
              </w:rPr>
              <w:t xml:space="preserve">李 </w:t>
            </w:r>
            <w:bookmarkStart w:id="0" w:name="_GoBack"/>
            <w:bookmarkEnd w:id="0"/>
            <w:r>
              <w:rPr>
                <w:rFonts w:hint="eastAsia"/>
                <w:sz w:val="24"/>
                <w:szCs w:val="20"/>
              </w:rPr>
              <w:t xml:space="preserve"> 能</w:t>
            </w:r>
          </w:p>
        </w:tc>
        <w:tc>
          <w:tcPr>
            <w:tcW w:w="3816" w:type="dxa"/>
            <w:tcBorders>
              <w:tl2br w:val="nil"/>
              <w:tr2bl w:val="nil"/>
            </w:tcBorders>
            <w:shd w:val="clear" w:color="auto" w:fill="FFFFFF"/>
            <w:vAlign w:val="center"/>
          </w:tcPr>
          <w:p w14:paraId="09691ABB">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 xml:space="preserve">1500000000301650 </w:t>
            </w:r>
          </w:p>
        </w:tc>
        <w:tc>
          <w:tcPr>
            <w:tcW w:w="1874" w:type="dxa"/>
            <w:tcBorders>
              <w:tl2br w:val="nil"/>
              <w:tr2bl w:val="nil"/>
            </w:tcBorders>
            <w:shd w:val="clear" w:color="auto" w:fill="FFFFFF"/>
            <w:vAlign w:val="center"/>
          </w:tcPr>
          <w:p w14:paraId="29EB2DF4">
            <w:pPr>
              <w:keepNext w:val="0"/>
              <w:keepLines w:val="0"/>
              <w:pageBreakBefore w:val="0"/>
              <w:widowControl/>
              <w:kinsoku/>
              <w:wordWrap/>
              <w:overflowPunct/>
              <w:topLinePunct w:val="0"/>
              <w:autoSpaceDE/>
              <w:autoSpaceDN/>
              <w:bidi w:val="0"/>
              <w:spacing w:line="240" w:lineRule="auto"/>
              <w:ind w:left="0" w:leftChars="0" w:firstLine="0" w:firstLineChars="0"/>
              <w:jc w:val="center"/>
              <w:textAlignment w:val="auto"/>
              <w:rPr>
                <w:rFonts w:hint="eastAsia" w:ascii="Times New Roman" w:hAnsi="Times New Roman" w:eastAsia="仿宋_GB2312" w:cs="Times New Roman"/>
                <w:color w:val="auto"/>
                <w:sz w:val="24"/>
                <w:szCs w:val="20"/>
                <w:lang w:val="en-US" w:eastAsia="zh-CN"/>
              </w:rPr>
            </w:pPr>
            <w:r>
              <w:rPr>
                <w:rFonts w:hint="eastAsia" w:ascii="Times New Roman" w:hAnsi="Times New Roman" w:eastAsia="仿宋_GB2312" w:cs="Times New Roman"/>
                <w:color w:val="auto"/>
                <w:sz w:val="24"/>
                <w:szCs w:val="20"/>
                <w:lang w:val="en-US" w:eastAsia="zh-CN"/>
              </w:rPr>
              <w:t>025782</w:t>
            </w:r>
          </w:p>
        </w:tc>
      </w:tr>
      <w:tr w14:paraId="1A4D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477" w:hRule="atLeast"/>
          <w:jc w:val="center"/>
        </w:trPr>
        <w:tc>
          <w:tcPr>
            <w:tcW w:w="1751" w:type="dxa"/>
            <w:tcBorders>
              <w:tl2br w:val="nil"/>
              <w:tr2bl w:val="nil"/>
            </w:tcBorders>
            <w:shd w:val="clear" w:color="auto" w:fill="FFFFFF"/>
            <w:vAlign w:val="center"/>
          </w:tcPr>
          <w:p w14:paraId="2632A060">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技术专家</w:t>
            </w:r>
          </w:p>
        </w:tc>
        <w:tc>
          <w:tcPr>
            <w:tcW w:w="7488" w:type="dxa"/>
            <w:gridSpan w:val="3"/>
            <w:tcBorders>
              <w:tl2br w:val="nil"/>
              <w:tr2bl w:val="nil"/>
            </w:tcBorders>
            <w:shd w:val="clear" w:color="auto" w:fill="FFFFFF"/>
            <w:vAlign w:val="center"/>
          </w:tcPr>
          <w:p w14:paraId="3BDF415A">
            <w:pPr>
              <w:jc w:val="center"/>
              <w:rPr>
                <w:rFonts w:hint="eastAsia" w:ascii="宋体" w:hAnsi="宋体" w:eastAsia="宋体" w:cs="宋体"/>
                <w:sz w:val="24"/>
                <w:szCs w:val="24"/>
              </w:rPr>
            </w:pPr>
          </w:p>
        </w:tc>
      </w:tr>
      <w:tr w14:paraId="082A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4673EF4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现场勘察人员及时间</w:t>
            </w:r>
          </w:p>
        </w:tc>
        <w:tc>
          <w:tcPr>
            <w:tcW w:w="7488" w:type="dxa"/>
            <w:gridSpan w:val="3"/>
            <w:tcBorders>
              <w:tl2br w:val="nil"/>
              <w:tr2bl w:val="nil"/>
            </w:tcBorders>
            <w:shd w:val="clear" w:color="auto" w:fill="FFFFFF"/>
            <w:vAlign w:val="center"/>
          </w:tcPr>
          <w:p w14:paraId="10B309BD">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仿宋_GB2312" w:cs="Times New Roman"/>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2026年2月2日</w:t>
            </w:r>
          </w:p>
        </w:tc>
      </w:tr>
      <w:tr w14:paraId="0B35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793" w:hRule="atLeast"/>
          <w:jc w:val="center"/>
        </w:trPr>
        <w:tc>
          <w:tcPr>
            <w:tcW w:w="1751" w:type="dxa"/>
            <w:tcBorders>
              <w:tl2br w:val="nil"/>
              <w:tr2bl w:val="nil"/>
            </w:tcBorders>
            <w:shd w:val="clear" w:color="auto" w:fill="FFFFFF"/>
            <w:vAlign w:val="center"/>
          </w:tcPr>
          <w:p w14:paraId="26E8BCB6">
            <w:pPr>
              <w:widowControl/>
              <w:spacing w:after="150"/>
              <w:jc w:val="center"/>
              <w:rPr>
                <w:rFonts w:hint="eastAsia" w:ascii="宋体" w:hAnsi="宋体" w:eastAsia="宋体" w:cs="宋体"/>
                <w:kern w:val="0"/>
                <w:sz w:val="24"/>
                <w:szCs w:val="24"/>
                <w:shd w:val="clear" w:color="auto" w:fill="FFFFFF"/>
              </w:rPr>
            </w:pPr>
            <w:r>
              <w:rPr>
                <w:rFonts w:hint="eastAsia" w:ascii="宋体" w:hAnsi="宋体" w:eastAsia="宋体" w:cs="宋体"/>
                <w:kern w:val="0"/>
                <w:sz w:val="24"/>
                <w:szCs w:val="24"/>
                <w:shd w:val="clear" w:color="auto" w:fill="FFFFFF"/>
              </w:rPr>
              <w:t>现场核查的人员和时间</w:t>
            </w:r>
          </w:p>
        </w:tc>
        <w:tc>
          <w:tcPr>
            <w:tcW w:w="7488" w:type="dxa"/>
            <w:gridSpan w:val="3"/>
            <w:tcBorders>
              <w:tl2br w:val="nil"/>
              <w:tr2bl w:val="nil"/>
            </w:tcBorders>
            <w:shd w:val="clear" w:color="auto" w:fill="FFFFFF"/>
            <w:vAlign w:val="center"/>
          </w:tcPr>
          <w:p w14:paraId="427B8BC9">
            <w:pPr>
              <w:widowControl/>
              <w:spacing w:after="150"/>
              <w:jc w:val="center"/>
              <w:rPr>
                <w:rFonts w:hint="default" w:ascii="Times New Roman" w:hAnsi="Times New Roman" w:eastAsia="仿宋_GB2312" w:cs="Times New Roman"/>
                <w:color w:val="FF0000"/>
                <w:kern w:val="2"/>
                <w:sz w:val="24"/>
                <w:szCs w:val="24"/>
                <w:lang w:val="en-US" w:eastAsia="zh-CN" w:bidi="ar-SA"/>
              </w:rPr>
            </w:pPr>
            <w:r>
              <w:rPr>
                <w:rFonts w:hint="eastAsia" w:ascii="Times New Roman" w:hAnsi="Times New Roman" w:eastAsia="仿宋_GB2312" w:cs="Times New Roman"/>
                <w:kern w:val="2"/>
                <w:sz w:val="24"/>
                <w:szCs w:val="24"/>
                <w:lang w:val="en-US" w:eastAsia="zh-CN" w:bidi="ar-SA"/>
              </w:rPr>
              <w:t>赵艳、张志辉 2026年2月5日</w:t>
            </w:r>
          </w:p>
        </w:tc>
      </w:tr>
      <w:tr w14:paraId="6F20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798" w:hRule="atLeast"/>
          <w:jc w:val="center"/>
        </w:trPr>
        <w:tc>
          <w:tcPr>
            <w:tcW w:w="1751" w:type="dxa"/>
            <w:tcBorders>
              <w:tl2br w:val="nil"/>
              <w:tr2bl w:val="nil"/>
            </w:tcBorders>
            <w:shd w:val="clear" w:color="auto" w:fill="FFFFFF"/>
            <w:vAlign w:val="center"/>
          </w:tcPr>
          <w:p w14:paraId="47DE38C8">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项目简介</w:t>
            </w:r>
          </w:p>
        </w:tc>
        <w:tc>
          <w:tcPr>
            <w:tcW w:w="7488" w:type="dxa"/>
            <w:gridSpan w:val="3"/>
            <w:tcBorders>
              <w:tl2br w:val="nil"/>
              <w:tr2bl w:val="nil"/>
            </w:tcBorders>
            <w:shd w:val="clear" w:color="auto" w:fill="FFFFFF"/>
            <w:vAlign w:val="center"/>
          </w:tcPr>
          <w:p w14:paraId="128779CA">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ascii="Times New Roman" w:hAnsi="Times New Roman"/>
                <w:sz w:val="24"/>
                <w:szCs w:val="24"/>
                <w:lang w:eastAsia="zh-CN"/>
              </w:rPr>
            </w:pPr>
            <w:r>
              <w:rPr>
                <w:rFonts w:hint="eastAsia" w:ascii="Times New Roman" w:hAnsi="Times New Roman"/>
                <w:sz w:val="24"/>
                <w:szCs w:val="24"/>
                <w:lang w:eastAsia="zh-CN"/>
              </w:rPr>
              <w:t>该</w:t>
            </w:r>
            <w:r>
              <w:rPr>
                <w:rFonts w:hint="eastAsia" w:ascii="Times New Roman" w:hAnsi="Times New Roman"/>
                <w:sz w:val="24"/>
                <w:szCs w:val="24"/>
                <w:lang w:val="en-US" w:eastAsia="zh-CN"/>
              </w:rPr>
              <w:t>公司加油站</w:t>
            </w:r>
            <w:r>
              <w:rPr>
                <w:rFonts w:hint="eastAsia" w:ascii="Times New Roman" w:hAnsi="Times New Roman"/>
                <w:sz w:val="24"/>
                <w:szCs w:val="24"/>
                <w:lang w:eastAsia="zh-CN"/>
              </w:rPr>
              <w:t>位于陕西省铜川市耀州区天宝路街道办事处寺耀路与华丰路交叉口东南240米。该加油站主要经营汽油。</w:t>
            </w:r>
          </w:p>
          <w:p w14:paraId="11F13C8F">
            <w:pPr>
              <w:pStyle w:val="6"/>
              <w:keepNext w:val="0"/>
              <w:keepLines w:val="0"/>
              <w:pageBreakBefore w:val="0"/>
              <w:widowControl w:val="0"/>
              <w:kinsoku/>
              <w:wordWrap/>
              <w:overflowPunct/>
              <w:topLinePunct w:val="0"/>
              <w:autoSpaceDE/>
              <w:autoSpaceDN/>
              <w:bidi w:val="0"/>
              <w:adjustRightInd/>
              <w:snapToGrid/>
              <w:ind w:left="210" w:leftChars="100" w:firstLine="480" w:firstLineChars="200"/>
              <w:textAlignment w:val="auto"/>
              <w:rPr>
                <w:rFonts w:hint="eastAsia"/>
              </w:rPr>
            </w:pPr>
            <w:r>
              <w:rPr>
                <w:rFonts w:hint="eastAsia" w:ascii="Times New Roman" w:hAnsi="Times New Roman"/>
                <w:sz w:val="24"/>
                <w:szCs w:val="24"/>
                <w:lang w:val="en-US" w:eastAsia="zh-CN"/>
              </w:rPr>
              <w:t>该加油站设有2台四枪加油机，3个SF双层埋地卧式汽油油罐，其中92#汽油罐2个，95#汽油罐1个，单罐容积均为30m3，总储存容积为90m3，设有1台三次油气回收设备。依据《汽车加油加气加氢站技术标准》（GB50156-2021）第3.0.9条的规定，则该加油站等级为三级加油站。</w:t>
            </w:r>
          </w:p>
          <w:p w14:paraId="49B360CB">
            <w:pPr>
              <w:rPr>
                <w:rFonts w:hint="eastAsia"/>
              </w:rPr>
            </w:pPr>
          </w:p>
          <w:p w14:paraId="42753F83">
            <w:pPr>
              <w:pStyle w:val="6"/>
              <w:rPr>
                <w:rFonts w:hint="eastAsia"/>
              </w:rPr>
            </w:pPr>
          </w:p>
          <w:p w14:paraId="6D91CEF4">
            <w:pPr>
              <w:rPr>
                <w:rFonts w:hint="eastAsia"/>
              </w:rPr>
            </w:pPr>
          </w:p>
        </w:tc>
      </w:tr>
      <w:tr w14:paraId="4E6C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803" w:hRule="atLeast"/>
          <w:jc w:val="center"/>
        </w:trPr>
        <w:tc>
          <w:tcPr>
            <w:tcW w:w="1751" w:type="dxa"/>
            <w:tcBorders>
              <w:tl2br w:val="nil"/>
              <w:tr2bl w:val="nil"/>
            </w:tcBorders>
            <w:shd w:val="clear" w:color="auto" w:fill="FFFFFF"/>
            <w:vAlign w:val="center"/>
          </w:tcPr>
          <w:p w14:paraId="2114DE97">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被评价单位信息反馈情况</w:t>
            </w:r>
          </w:p>
        </w:tc>
        <w:tc>
          <w:tcPr>
            <w:tcW w:w="7488" w:type="dxa"/>
            <w:gridSpan w:val="3"/>
            <w:tcBorders>
              <w:tl2br w:val="nil"/>
              <w:tr2bl w:val="nil"/>
            </w:tcBorders>
            <w:shd w:val="clear" w:color="auto" w:fill="FFFFFF"/>
            <w:vAlign w:val="center"/>
          </w:tcPr>
          <w:p w14:paraId="2840A0DC">
            <w:pPr>
              <w:widowControl/>
              <w:spacing w:after="150"/>
              <w:jc w:val="center"/>
              <w:rPr>
                <w:rFonts w:hint="eastAsia" w:ascii="宋体" w:hAnsi="宋体" w:eastAsia="宋体" w:cs="宋体"/>
                <w:sz w:val="24"/>
                <w:szCs w:val="24"/>
              </w:rPr>
            </w:pPr>
            <w:r>
              <w:rPr>
                <w:rFonts w:hint="eastAsia" w:ascii="宋体" w:hAnsi="宋体" w:eastAsia="宋体" w:cs="宋体"/>
                <w:kern w:val="0"/>
                <w:sz w:val="24"/>
                <w:szCs w:val="24"/>
                <w:shd w:val="clear" w:color="auto" w:fill="FFFFFF"/>
              </w:rPr>
              <w:t>满意</w:t>
            </w:r>
          </w:p>
        </w:tc>
      </w:tr>
    </w:tbl>
    <w:p w14:paraId="661EA105">
      <w:pPr>
        <w:rPr>
          <w:rFonts w:hint="eastAsia" w:ascii="Times New Roman" w:hAnsi="Times New Roman"/>
          <w:kern w:val="0"/>
          <w:sz w:val="28"/>
          <w:szCs w:val="28"/>
          <w:shd w:val="clear" w:color="auto" w:fill="FFFFFF"/>
          <w:lang w:val="en-US" w:eastAsia="zh-CN"/>
        </w:rPr>
      </w:pPr>
    </w:p>
    <w:p w14:paraId="06C76E90">
      <w:pPr>
        <w:rPr>
          <w:rFonts w:hint="eastAsia" w:ascii="Times New Roman" w:hAnsi="Times New Roman"/>
          <w:kern w:val="0"/>
          <w:sz w:val="28"/>
          <w:szCs w:val="28"/>
          <w:shd w:val="clear" w:color="auto" w:fill="FFFFFF"/>
          <w:lang w:val="en-US" w:eastAsia="zh-CN"/>
        </w:rPr>
      </w:pPr>
    </w:p>
    <w:p w14:paraId="2EC40581">
      <w:pPr>
        <w:rPr>
          <w:rFonts w:hint="default" w:ascii="Times New Roman" w:hAnsi="Times New Roman" w:eastAsia="仿宋_GB2312" w:cs="Times New Roman"/>
          <w:kern w:val="2"/>
          <w:sz w:val="24"/>
          <w:szCs w:val="24"/>
          <w:lang w:val="en-US" w:eastAsia="zh-CN" w:bidi="ar-SA"/>
        </w:rPr>
      </w:pPr>
      <w:r>
        <w:rPr>
          <w:rFonts w:hint="eastAsia" w:ascii="Times New Roman" w:hAnsi="Times New Roman"/>
          <w:kern w:val="0"/>
          <w:sz w:val="28"/>
          <w:szCs w:val="28"/>
          <w:shd w:val="clear" w:color="auto" w:fill="FFFFFF"/>
          <w:lang w:val="en-US" w:eastAsia="zh-CN"/>
        </w:rPr>
        <w:t>评价人员现场照片</w:t>
      </w:r>
      <w:r>
        <w:rPr>
          <w:rFonts w:hint="eastAsia" w:ascii="Times New Roman" w:hAnsi="Times New Roman" w:eastAsia="仿宋_GB2312" w:cs="Times New Roman"/>
          <w:kern w:val="2"/>
          <w:sz w:val="24"/>
          <w:szCs w:val="24"/>
          <w:lang w:val="en-US" w:eastAsia="zh-CN" w:bidi="ar-SA"/>
        </w:rPr>
        <w:t>（项目负责人、项目组成员厂区门口及主要设施前打卡照片）</w:t>
      </w:r>
    </w:p>
    <w:p w14:paraId="3DD1759D">
      <w:pPr>
        <w:jc w:val="center"/>
        <w:rPr>
          <w:rFonts w:hint="eastAsia" w:ascii="Times New Roman" w:hAnsi="Times New Roman" w:eastAsia="宋体"/>
          <w:kern w:val="0"/>
          <w:sz w:val="28"/>
          <w:szCs w:val="28"/>
          <w:shd w:val="clear" w:color="auto" w:fill="FFFFFF"/>
          <w:lang w:eastAsia="zh-CN"/>
        </w:rPr>
      </w:pPr>
      <w:r>
        <w:rPr>
          <w:rFonts w:hint="eastAsia" w:ascii="Times New Roman" w:hAnsi="Times New Roman" w:eastAsia="宋体"/>
          <w:kern w:val="0"/>
          <w:sz w:val="28"/>
          <w:szCs w:val="28"/>
          <w:shd w:val="clear" w:color="auto" w:fill="FFFFFF"/>
          <w:lang w:eastAsia="zh-CN"/>
        </w:rPr>
        <w:drawing>
          <wp:inline distT="0" distB="0" distL="114300" distR="114300">
            <wp:extent cx="5266690" cy="7022465"/>
            <wp:effectExtent l="0" t="0" r="10160" b="6985"/>
            <wp:docPr id="3" name="图片 3" descr="微信图片_20260615084634_637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60615084634_637_61"/>
                    <pic:cNvPicPr>
                      <a:picLocks noChangeAspect="1"/>
                    </pic:cNvPicPr>
                  </pic:nvPicPr>
                  <pic:blipFill>
                    <a:blip r:embed="rId4"/>
                    <a:stretch>
                      <a:fillRect/>
                    </a:stretch>
                  </pic:blipFill>
                  <pic:spPr>
                    <a:xfrm>
                      <a:off x="0" y="0"/>
                      <a:ext cx="5266690" cy="7022465"/>
                    </a:xfrm>
                    <a:prstGeom prst="rect">
                      <a:avLst/>
                    </a:prstGeom>
                  </pic:spPr>
                </pic:pic>
              </a:graphicData>
            </a:graphic>
          </wp:inline>
        </w:drawing>
      </w:r>
    </w:p>
    <w:p w14:paraId="274B9DD8">
      <w:pPr>
        <w:rPr>
          <w:lang w:val="en-US" w:eastAsia="zh-CN"/>
        </w:rPr>
      </w:pPr>
    </w:p>
    <w:p w14:paraId="217FC638">
      <w:pPr>
        <w:rPr>
          <w:rFonts w:hint="default"/>
          <w:lang w:val="en-US" w:eastAsia="zh-CN"/>
        </w:rPr>
      </w:pPr>
    </w:p>
    <w:p w14:paraId="6490E5A4">
      <w:pPr>
        <w:rPr>
          <w:rFonts w:hint="default"/>
          <w:lang w:val="en-US" w:eastAsia="zh-CN"/>
        </w:rPr>
      </w:pPr>
    </w:p>
    <w:p w14:paraId="2DEED9FF">
      <w:pPr>
        <w:rPr>
          <w:rFonts w:hint="default"/>
          <w:lang w:val="en-US" w:eastAsia="zh-CN"/>
        </w:rPr>
        <w:sectPr>
          <w:pgSz w:w="11906" w:h="16838"/>
          <w:pgMar w:top="1440" w:right="1800" w:bottom="1440" w:left="1800" w:header="851" w:footer="992" w:gutter="0"/>
          <w:cols w:space="720" w:num="1"/>
          <w:docGrid w:type="lines" w:linePitch="312" w:charSpace="0"/>
        </w:sectPr>
      </w:pPr>
    </w:p>
    <w:p w14:paraId="346993E3">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报告外封面（扫描件）</w:t>
      </w:r>
    </w:p>
    <w:p w14:paraId="57870509">
      <w:pPr>
        <w:rPr>
          <w:rFonts w:hint="default"/>
          <w:lang w:val="en-US" w:eastAsia="zh-CN"/>
        </w:rPr>
      </w:pPr>
    </w:p>
    <w:p w14:paraId="4B3ABE50">
      <w:pPr>
        <w:rPr>
          <w:rFonts w:hint="default"/>
          <w:lang w:val="en-US" w:eastAsia="zh-CN"/>
        </w:rPr>
      </w:pPr>
    </w:p>
    <w:p w14:paraId="51AC75E5">
      <w:pPr>
        <w:rPr>
          <w:rFonts w:hint="default"/>
          <w:lang w:val="en-US" w:eastAsia="zh-CN"/>
        </w:rPr>
      </w:pPr>
      <w:r>
        <w:rPr>
          <w:rFonts w:hint="default"/>
          <w:lang w:val="en-US" w:eastAsia="zh-CN"/>
        </w:rPr>
        <w:drawing>
          <wp:anchor distT="0" distB="0" distL="114300" distR="114300" simplePos="0" relativeHeight="251660288" behindDoc="0" locked="0" layoutInCell="1" allowOverlap="1">
            <wp:simplePos x="0" y="0"/>
            <wp:positionH relativeFrom="column">
              <wp:posOffset>155575</wp:posOffset>
            </wp:positionH>
            <wp:positionV relativeFrom="paragraph">
              <wp:posOffset>51435</wp:posOffset>
            </wp:positionV>
            <wp:extent cx="4838700" cy="6842760"/>
            <wp:effectExtent l="0" t="0" r="0" b="15240"/>
            <wp:wrapTopAndBottom/>
            <wp:docPr id="2" name="图片 2" descr="C:/Users/Windows10/Desktop/陕西延长石油铜川石化贸易有限公司锦阳新城城市便利加油站分公司安全现状评价报告_01.png陕西延长石油铜川石化贸易有限公司锦阳新城城市便利加油站分公司安全现状评价报告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Windows10/Desktop/陕西延长石油铜川石化贸易有限公司锦阳新城城市便利加油站分公司安全现状评价报告_01.png陕西延长石油铜川石化贸易有限公司锦阳新城城市便利加油站分公司安全现状评价报告_01"/>
                    <pic:cNvPicPr>
                      <a:picLocks noChangeAspect="1"/>
                    </pic:cNvPicPr>
                  </pic:nvPicPr>
                  <pic:blipFill>
                    <a:blip r:embed="rId5"/>
                    <a:srcRect/>
                    <a:stretch>
                      <a:fillRect/>
                    </a:stretch>
                  </pic:blipFill>
                  <pic:spPr>
                    <a:xfrm>
                      <a:off x="0" y="0"/>
                      <a:ext cx="4838700" cy="6842760"/>
                    </a:xfrm>
                    <a:prstGeom prst="rect">
                      <a:avLst/>
                    </a:prstGeom>
                  </pic:spPr>
                </pic:pic>
              </a:graphicData>
            </a:graphic>
          </wp:anchor>
        </w:drawing>
      </w:r>
    </w:p>
    <w:p w14:paraId="33194920">
      <w:pPr>
        <w:rPr>
          <w:rFonts w:hint="default"/>
          <w:lang w:val="en-US" w:eastAsia="zh-CN"/>
        </w:rPr>
      </w:pPr>
    </w:p>
    <w:p w14:paraId="46C4C3B1">
      <w:pPr>
        <w:rPr>
          <w:rFonts w:hint="default"/>
          <w:lang w:val="en-US" w:eastAsia="zh-CN"/>
        </w:rPr>
      </w:pPr>
    </w:p>
    <w:p w14:paraId="14BAF204">
      <w:pPr>
        <w:rPr>
          <w:rFonts w:hint="default"/>
          <w:lang w:val="en-US" w:eastAsia="zh-CN"/>
        </w:rPr>
      </w:pPr>
    </w:p>
    <w:p w14:paraId="2C1D7FCB">
      <w:pPr>
        <w:rPr>
          <w:rFonts w:hint="default"/>
          <w:lang w:val="en-US" w:eastAsia="zh-CN"/>
        </w:rPr>
      </w:pPr>
    </w:p>
    <w:p w14:paraId="1E38B329">
      <w:pPr>
        <w:rPr>
          <w:rFonts w:hint="default" w:ascii="Times New Roman" w:hAnsi="Times New Roman"/>
          <w:kern w:val="0"/>
          <w:sz w:val="28"/>
          <w:szCs w:val="28"/>
          <w:shd w:val="clear" w:color="auto" w:fill="FFFFFF"/>
          <w:lang w:val="en-US" w:eastAsia="zh-CN"/>
        </w:rPr>
      </w:pPr>
      <w:r>
        <w:rPr>
          <w:rFonts w:hint="eastAsia" w:ascii="Times New Roman" w:hAnsi="Times New Roman"/>
          <w:kern w:val="0"/>
          <w:sz w:val="28"/>
          <w:szCs w:val="28"/>
          <w:shd w:val="clear" w:color="auto" w:fill="FFFFFF"/>
          <w:lang w:val="en-US" w:eastAsia="zh-CN"/>
        </w:rPr>
        <w:t>报告内封面（盖章扫描件）</w:t>
      </w:r>
    </w:p>
    <w:p w14:paraId="4EF0D39B">
      <w:pPr>
        <w:pStyle w:val="6"/>
        <w:rPr>
          <w:rFonts w:hint="default"/>
          <w:lang w:val="en-US" w:eastAsia="zh-CN"/>
        </w:rPr>
      </w:pPr>
      <w:r>
        <w:drawing>
          <wp:inline distT="0" distB="0" distL="114300" distR="114300">
            <wp:extent cx="5267325" cy="7496175"/>
            <wp:effectExtent l="0" t="0" r="9525" b="9525"/>
            <wp:docPr id="7" name="图片 2" descr="C:/Users/Windows10/Desktop/陕西延长石油铜川石化贸易有限公司锦阳新城城市便利加油站分公司安全现状评价报告_02.png陕西延长石油铜川石化贸易有限公司锦阳新城城市便利加油站分公司安全现状评价报告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Windows10/Desktop/陕西延长石油铜川石化贸易有限公司锦阳新城城市便利加油站分公司安全现状评价报告_02.png陕西延长石油铜川石化贸易有限公司锦阳新城城市便利加油站分公司安全现状评价报告_02"/>
                    <pic:cNvPicPr>
                      <a:picLocks noChangeAspect="1"/>
                    </pic:cNvPicPr>
                  </pic:nvPicPr>
                  <pic:blipFill>
                    <a:blip r:embed="rId6"/>
                    <a:srcRect l="318" r="318"/>
                    <a:stretch>
                      <a:fillRect/>
                    </a:stretch>
                  </pic:blipFill>
                  <pic:spPr>
                    <a:xfrm>
                      <a:off x="0" y="0"/>
                      <a:ext cx="5267325" cy="7496175"/>
                    </a:xfrm>
                    <a:prstGeom prst="rect">
                      <a:avLst/>
                    </a:prstGeom>
                    <a:noFill/>
                    <a:ln>
                      <a:noFill/>
                    </a:ln>
                  </pic:spPr>
                </pic:pic>
              </a:graphicData>
            </a:graphic>
          </wp:inline>
        </w:drawing>
      </w:r>
    </w:p>
    <w:p w14:paraId="2ED2A02B">
      <w:pPr>
        <w:rPr>
          <w:rFonts w:hint="default"/>
          <w:lang w:val="en-US" w:eastAsia="zh-CN"/>
        </w:rPr>
      </w:pPr>
    </w:p>
    <w:p w14:paraId="2C72C22B">
      <w:pPr>
        <w:rPr>
          <w:rFonts w:hint="default"/>
          <w:lang w:val="en-US" w:eastAsia="zh-CN"/>
        </w:rPr>
      </w:pPr>
    </w:p>
    <w:p w14:paraId="1679D7EB">
      <w:pPr>
        <w:rPr>
          <w:rFonts w:hint="default"/>
          <w:lang w:val="en-US" w:eastAsia="zh-CN"/>
        </w:rPr>
      </w:pPr>
    </w:p>
    <w:p w14:paraId="426E6602">
      <w:pPr>
        <w:rPr>
          <w:rFonts w:hint="default"/>
          <w:lang w:val="en-US" w:eastAsia="zh-CN"/>
        </w:rPr>
      </w:pPr>
    </w:p>
    <w:p w14:paraId="32F23C62">
      <w:pPr>
        <w:pStyle w:val="6"/>
        <w:rPr>
          <w:rFonts w:hint="eastAsia" w:ascii="Times New Roman" w:hAnsi="Times New Roman"/>
          <w:kern w:val="0"/>
          <w:sz w:val="28"/>
          <w:szCs w:val="28"/>
          <w:shd w:val="clear" w:color="auto" w:fill="FFFFFF"/>
          <w:lang w:val="en-US" w:eastAsia="zh-CN"/>
        </w:rPr>
        <w:sectPr>
          <w:pgSz w:w="11906" w:h="16838"/>
          <w:pgMar w:top="1440" w:right="1800" w:bottom="1440" w:left="1800" w:header="851" w:footer="992" w:gutter="0"/>
          <w:cols w:space="720" w:num="1"/>
          <w:docGrid w:type="lines" w:linePitch="312" w:charSpace="0"/>
        </w:sectPr>
      </w:pPr>
      <w:r>
        <w:rPr>
          <w:rFonts w:hint="eastAsia"/>
          <w:lang w:val="en-US" w:eastAsia="zh-CN"/>
        </w:rPr>
        <w:t>报告结论页</w:t>
      </w:r>
      <w:r>
        <w:rPr>
          <w:rFonts w:hint="eastAsia" w:ascii="Times New Roman" w:hAnsi="Times New Roman"/>
          <w:kern w:val="0"/>
          <w:sz w:val="28"/>
          <w:szCs w:val="28"/>
          <w:shd w:val="clear" w:color="auto" w:fill="FFFFFF"/>
          <w:lang w:val="en-US" w:eastAsia="zh-CN"/>
        </w:rPr>
        <w:t>（盖章扫描件</w:t>
      </w:r>
      <w:r>
        <w:drawing>
          <wp:anchor distT="0" distB="0" distL="114300" distR="114300" simplePos="0" relativeHeight="251659264" behindDoc="0" locked="0" layoutInCell="1" allowOverlap="1">
            <wp:simplePos x="0" y="0"/>
            <wp:positionH relativeFrom="column">
              <wp:posOffset>0</wp:posOffset>
            </wp:positionH>
            <wp:positionV relativeFrom="paragraph">
              <wp:posOffset>474345</wp:posOffset>
            </wp:positionV>
            <wp:extent cx="5271135" cy="7368540"/>
            <wp:effectExtent l="0" t="0" r="5715" b="3810"/>
            <wp:wrapSquare wrapText="bothSides"/>
            <wp:docPr id="9" name="图片 4" descr="C:/Users/Windows10/Desktop/陕西延长石油铜川石化贸易有限公司锦阳新城城市便利加油站分公司安全现状评价报告_105.png陕西延长石油铜川石化贸易有限公司锦阳新城城市便利加油站分公司安全现状评价报告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C:/Users/Windows10/Desktop/陕西延长石油铜川石化贸易有限公司锦阳新城城市便利加油站分公司安全现状评价报告_105.png陕西延长石油铜川石化贸易有限公司锦阳新城城市便利加油站分公司安全现状评价报告_105"/>
                    <pic:cNvPicPr>
                      <a:picLocks noChangeAspect="1"/>
                    </pic:cNvPicPr>
                  </pic:nvPicPr>
                  <pic:blipFill>
                    <a:blip r:embed="rId7"/>
                    <a:srcRect t="578" b="578"/>
                    <a:stretch>
                      <a:fillRect/>
                    </a:stretch>
                  </pic:blipFill>
                  <pic:spPr>
                    <a:xfrm>
                      <a:off x="0" y="0"/>
                      <a:ext cx="5271135" cy="7368540"/>
                    </a:xfrm>
                    <a:prstGeom prst="rect">
                      <a:avLst/>
                    </a:prstGeom>
                    <a:noFill/>
                    <a:ln>
                      <a:noFill/>
                    </a:ln>
                  </pic:spPr>
                </pic:pic>
              </a:graphicData>
            </a:graphic>
          </wp:anchor>
        </w:drawing>
      </w:r>
    </w:p>
    <w:p w14:paraId="0A397AF1">
      <w:pPr>
        <w:rPr>
          <w:rFonts w:hint="default"/>
          <w:lang w:val="en-US" w:eastAsia="zh-C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zMjdiZTZhYWEwMDUyMzMwMzdhZWM2ZmNjMGMzMDkifQ=="/>
  </w:docVars>
  <w:rsids>
    <w:rsidRoot w:val="00E3751A"/>
    <w:rsid w:val="00047227"/>
    <w:rsid w:val="00303C12"/>
    <w:rsid w:val="003A7C06"/>
    <w:rsid w:val="004D1AF7"/>
    <w:rsid w:val="00756850"/>
    <w:rsid w:val="00802085"/>
    <w:rsid w:val="00C75118"/>
    <w:rsid w:val="00C82162"/>
    <w:rsid w:val="00D40559"/>
    <w:rsid w:val="00E3751A"/>
    <w:rsid w:val="01381A2C"/>
    <w:rsid w:val="02691A29"/>
    <w:rsid w:val="02DB29D5"/>
    <w:rsid w:val="03C37305"/>
    <w:rsid w:val="04433212"/>
    <w:rsid w:val="04543719"/>
    <w:rsid w:val="045937F4"/>
    <w:rsid w:val="04664971"/>
    <w:rsid w:val="04714B20"/>
    <w:rsid w:val="04D11406"/>
    <w:rsid w:val="04E23328"/>
    <w:rsid w:val="0566548D"/>
    <w:rsid w:val="06EF6353"/>
    <w:rsid w:val="074924D2"/>
    <w:rsid w:val="07D32EB9"/>
    <w:rsid w:val="07E46E00"/>
    <w:rsid w:val="08300409"/>
    <w:rsid w:val="08302FF8"/>
    <w:rsid w:val="08ED0200"/>
    <w:rsid w:val="092A567E"/>
    <w:rsid w:val="096769A3"/>
    <w:rsid w:val="096F1B10"/>
    <w:rsid w:val="09880F90"/>
    <w:rsid w:val="09D81F15"/>
    <w:rsid w:val="0A0E1339"/>
    <w:rsid w:val="0BC750FD"/>
    <w:rsid w:val="0D073DB5"/>
    <w:rsid w:val="0D081033"/>
    <w:rsid w:val="0EAC631D"/>
    <w:rsid w:val="0F1C6141"/>
    <w:rsid w:val="101628B2"/>
    <w:rsid w:val="105554FB"/>
    <w:rsid w:val="10806817"/>
    <w:rsid w:val="10AE1BD9"/>
    <w:rsid w:val="110E04BA"/>
    <w:rsid w:val="11373ABE"/>
    <w:rsid w:val="12B85A3D"/>
    <w:rsid w:val="13FA1B12"/>
    <w:rsid w:val="141C622E"/>
    <w:rsid w:val="17550DB0"/>
    <w:rsid w:val="17810296"/>
    <w:rsid w:val="17C601C4"/>
    <w:rsid w:val="18301429"/>
    <w:rsid w:val="188D103C"/>
    <w:rsid w:val="190E35A0"/>
    <w:rsid w:val="191A70DD"/>
    <w:rsid w:val="19992B53"/>
    <w:rsid w:val="19CE23A1"/>
    <w:rsid w:val="1A4E76A5"/>
    <w:rsid w:val="1ADA1B6B"/>
    <w:rsid w:val="1B63147C"/>
    <w:rsid w:val="1C4B6410"/>
    <w:rsid w:val="1CD13F56"/>
    <w:rsid w:val="1CD14F1F"/>
    <w:rsid w:val="1DAF0199"/>
    <w:rsid w:val="1F142A61"/>
    <w:rsid w:val="1F62080A"/>
    <w:rsid w:val="1FAC2BD1"/>
    <w:rsid w:val="214C4107"/>
    <w:rsid w:val="21A13C43"/>
    <w:rsid w:val="2282270A"/>
    <w:rsid w:val="23532900"/>
    <w:rsid w:val="23B37411"/>
    <w:rsid w:val="242E50EF"/>
    <w:rsid w:val="24775815"/>
    <w:rsid w:val="271635D9"/>
    <w:rsid w:val="27280E94"/>
    <w:rsid w:val="27500F62"/>
    <w:rsid w:val="27F61196"/>
    <w:rsid w:val="29216EA4"/>
    <w:rsid w:val="295537AE"/>
    <w:rsid w:val="297A3C20"/>
    <w:rsid w:val="29925FE1"/>
    <w:rsid w:val="29C972C6"/>
    <w:rsid w:val="29FC7E30"/>
    <w:rsid w:val="2B2010D4"/>
    <w:rsid w:val="2BD9110B"/>
    <w:rsid w:val="2CF970FD"/>
    <w:rsid w:val="2EAE6403"/>
    <w:rsid w:val="31747736"/>
    <w:rsid w:val="339918AA"/>
    <w:rsid w:val="351530F3"/>
    <w:rsid w:val="35211925"/>
    <w:rsid w:val="359C09E7"/>
    <w:rsid w:val="36577381"/>
    <w:rsid w:val="366115C7"/>
    <w:rsid w:val="36813AA5"/>
    <w:rsid w:val="37285AB1"/>
    <w:rsid w:val="375C6F30"/>
    <w:rsid w:val="3781684D"/>
    <w:rsid w:val="3823766B"/>
    <w:rsid w:val="396748BA"/>
    <w:rsid w:val="3AB6680E"/>
    <w:rsid w:val="3AD61658"/>
    <w:rsid w:val="3AF50232"/>
    <w:rsid w:val="3B251FB8"/>
    <w:rsid w:val="3B3712DA"/>
    <w:rsid w:val="3B622014"/>
    <w:rsid w:val="3C7D28D5"/>
    <w:rsid w:val="3D027FC2"/>
    <w:rsid w:val="3D3D4FC4"/>
    <w:rsid w:val="3D6E6023"/>
    <w:rsid w:val="3DEB4A20"/>
    <w:rsid w:val="3E1B2173"/>
    <w:rsid w:val="3EB62D94"/>
    <w:rsid w:val="3FDA2F9E"/>
    <w:rsid w:val="416C231C"/>
    <w:rsid w:val="41C84509"/>
    <w:rsid w:val="421F77C2"/>
    <w:rsid w:val="42305ED2"/>
    <w:rsid w:val="42355182"/>
    <w:rsid w:val="42403A61"/>
    <w:rsid w:val="43120BD6"/>
    <w:rsid w:val="43F50190"/>
    <w:rsid w:val="4432163F"/>
    <w:rsid w:val="45092F9E"/>
    <w:rsid w:val="4546743F"/>
    <w:rsid w:val="45A13141"/>
    <w:rsid w:val="46966FC2"/>
    <w:rsid w:val="47EE36B2"/>
    <w:rsid w:val="4810757A"/>
    <w:rsid w:val="48AF6D87"/>
    <w:rsid w:val="49CE6C17"/>
    <w:rsid w:val="4CDE060B"/>
    <w:rsid w:val="4CE17014"/>
    <w:rsid w:val="4CE473AA"/>
    <w:rsid w:val="4E3D5914"/>
    <w:rsid w:val="4EC87688"/>
    <w:rsid w:val="515A3854"/>
    <w:rsid w:val="52CC47C0"/>
    <w:rsid w:val="52E07D49"/>
    <w:rsid w:val="5374510A"/>
    <w:rsid w:val="5503044A"/>
    <w:rsid w:val="55B026BB"/>
    <w:rsid w:val="563D2137"/>
    <w:rsid w:val="57301D47"/>
    <w:rsid w:val="57487036"/>
    <w:rsid w:val="57800B40"/>
    <w:rsid w:val="57CD2DFE"/>
    <w:rsid w:val="58244FE5"/>
    <w:rsid w:val="58257B8B"/>
    <w:rsid w:val="584B13F6"/>
    <w:rsid w:val="5966311E"/>
    <w:rsid w:val="5984145C"/>
    <w:rsid w:val="59D926D2"/>
    <w:rsid w:val="5A3C20EF"/>
    <w:rsid w:val="5A3E4927"/>
    <w:rsid w:val="5AA52A54"/>
    <w:rsid w:val="5BC05975"/>
    <w:rsid w:val="5C0F4EFE"/>
    <w:rsid w:val="5CAC7411"/>
    <w:rsid w:val="5D89238E"/>
    <w:rsid w:val="5DA30A1C"/>
    <w:rsid w:val="5E3F6556"/>
    <w:rsid w:val="5E6A6403"/>
    <w:rsid w:val="5E8C3C37"/>
    <w:rsid w:val="5EBC6D64"/>
    <w:rsid w:val="5F182B4A"/>
    <w:rsid w:val="5FAD6EB4"/>
    <w:rsid w:val="5FD163AE"/>
    <w:rsid w:val="60057BEA"/>
    <w:rsid w:val="60B460AF"/>
    <w:rsid w:val="619747AF"/>
    <w:rsid w:val="621C336D"/>
    <w:rsid w:val="62EA5BC6"/>
    <w:rsid w:val="63AF3DDE"/>
    <w:rsid w:val="64126CC6"/>
    <w:rsid w:val="648F0582"/>
    <w:rsid w:val="6559245A"/>
    <w:rsid w:val="658C415A"/>
    <w:rsid w:val="65BC6B1F"/>
    <w:rsid w:val="65FA1F17"/>
    <w:rsid w:val="66705A4E"/>
    <w:rsid w:val="66C53C4A"/>
    <w:rsid w:val="673B297E"/>
    <w:rsid w:val="678F323C"/>
    <w:rsid w:val="67EA3C87"/>
    <w:rsid w:val="68233EA0"/>
    <w:rsid w:val="693E2E18"/>
    <w:rsid w:val="6AA57F27"/>
    <w:rsid w:val="6B5748D8"/>
    <w:rsid w:val="6BEF5D9D"/>
    <w:rsid w:val="6CC37EB5"/>
    <w:rsid w:val="6D1139EB"/>
    <w:rsid w:val="6E2A4841"/>
    <w:rsid w:val="6EB271B2"/>
    <w:rsid w:val="6F3D1DEF"/>
    <w:rsid w:val="710C2D52"/>
    <w:rsid w:val="71276AD1"/>
    <w:rsid w:val="7160445C"/>
    <w:rsid w:val="71697143"/>
    <w:rsid w:val="716C6A50"/>
    <w:rsid w:val="7207397B"/>
    <w:rsid w:val="72C43B37"/>
    <w:rsid w:val="730E1CC8"/>
    <w:rsid w:val="737D1DEA"/>
    <w:rsid w:val="748B2EA1"/>
    <w:rsid w:val="74AE0F56"/>
    <w:rsid w:val="75596373"/>
    <w:rsid w:val="770403EE"/>
    <w:rsid w:val="771E190D"/>
    <w:rsid w:val="77832F9B"/>
    <w:rsid w:val="77E51300"/>
    <w:rsid w:val="784004D1"/>
    <w:rsid w:val="78725E9B"/>
    <w:rsid w:val="78B611AB"/>
    <w:rsid w:val="79302291"/>
    <w:rsid w:val="7B424553"/>
    <w:rsid w:val="7BB96559"/>
    <w:rsid w:val="7C304A31"/>
    <w:rsid w:val="7C8D3DAD"/>
    <w:rsid w:val="7D9B14E2"/>
    <w:rsid w:val="7DAA32A9"/>
    <w:rsid w:val="7DB761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before="100" w:beforeAutospacing="1" w:after="100" w:afterAutospacing="1"/>
      <w:ind w:firstLine="602" w:firstLineChars="215"/>
    </w:pPr>
    <w:rPr>
      <w:color w:val="000000"/>
      <w:sz w:val="28"/>
    </w:r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next w:val="1"/>
    <w:qFormat/>
    <w:uiPriority w:val="99"/>
    <w:rPr>
      <w:sz w:val="28"/>
      <w:szCs w:val="28"/>
    </w:rPr>
  </w:style>
  <w:style w:type="paragraph" w:styleId="7">
    <w:name w:val="Body Text Indent"/>
    <w:basedOn w:val="1"/>
    <w:next w:val="6"/>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Balloon Text"/>
    <w:basedOn w:val="1"/>
    <w:link w:val="25"/>
    <w:qFormat/>
    <w:uiPriority w:val="0"/>
    <w:rPr>
      <w:sz w:val="18"/>
      <w:szCs w:val="18"/>
    </w:rPr>
  </w:style>
  <w:style w:type="paragraph" w:styleId="10">
    <w:name w:val="footer"/>
    <w:basedOn w:val="1"/>
    <w:next w:val="11"/>
    <w:qFormat/>
    <w:uiPriority w:val="99"/>
    <w:pPr>
      <w:tabs>
        <w:tab w:val="center" w:pos="4153"/>
        <w:tab w:val="right" w:pos="8306"/>
      </w:tabs>
      <w:snapToGrid w:val="0"/>
    </w:pPr>
    <w:rPr>
      <w:sz w:val="18"/>
      <w:szCs w:val="18"/>
    </w:rPr>
  </w:style>
  <w:style w:type="paragraph" w:styleId="11">
    <w:name w:val="Normal (Web)"/>
    <w:basedOn w:val="1"/>
    <w:next w:val="12"/>
    <w:qFormat/>
    <w:uiPriority w:val="0"/>
    <w:pPr>
      <w:spacing w:before="100" w:beforeAutospacing="1" w:after="100" w:afterAutospacing="1"/>
      <w:jc w:val="left"/>
    </w:pPr>
    <w:rPr>
      <w:kern w:val="0"/>
      <w:sz w:val="24"/>
    </w:rPr>
  </w:style>
  <w:style w:type="paragraph" w:customStyle="1" w:styleId="12">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Indent 3"/>
    <w:basedOn w:val="1"/>
    <w:qFormat/>
    <w:uiPriority w:val="0"/>
    <w:pPr>
      <w:widowControl w:val="0"/>
      <w:ind w:firstLine="630"/>
      <w:jc w:val="both"/>
    </w:pPr>
    <w:rPr>
      <w:rFonts w:ascii="Times New Roman" w:hAnsi="Times New Roman" w:eastAsia="仿宋_GB2312" w:cs="Times New Roman"/>
      <w:kern w:val="2"/>
      <w:sz w:val="28"/>
      <w:szCs w:val="24"/>
      <w:lang w:val="en-US" w:eastAsia="zh-CN" w:bidi="ar-SA"/>
    </w:rPr>
  </w:style>
  <w:style w:type="paragraph" w:styleId="15">
    <w:name w:val="Body Text First Indent"/>
    <w:basedOn w:val="6"/>
    <w:qFormat/>
    <w:uiPriority w:val="0"/>
    <w:pPr>
      <w:spacing w:after="120"/>
      <w:ind w:firstLine="420" w:firstLineChars="100"/>
    </w:pPr>
  </w:style>
  <w:style w:type="paragraph" w:styleId="16">
    <w:name w:val="Body Text First Indent 2"/>
    <w:basedOn w:val="7"/>
    <w:next w:val="1"/>
    <w:unhideWhenUsed/>
    <w:qFormat/>
    <w:uiPriority w:val="99"/>
    <w:pPr>
      <w:ind w:firstLine="420" w:firstLineChars="200"/>
    </w:pPr>
  </w:style>
  <w:style w:type="paragraph" w:customStyle="1" w:styleId="19">
    <w:name w:val="样式 首行缩进:  2 字符"/>
    <w:basedOn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0">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1">
    <w:name w:val="Default"/>
    <w:next w:val="16"/>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22">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23">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
    <w:name w:val="p0"/>
    <w:basedOn w:val="1"/>
    <w:qFormat/>
    <w:uiPriority w:val="0"/>
    <w:pPr>
      <w:widowControl/>
    </w:pPr>
    <w:rPr>
      <w:kern w:val="0"/>
      <w:szCs w:val="21"/>
    </w:rPr>
  </w:style>
  <w:style w:type="character" w:customStyle="1" w:styleId="25">
    <w:name w:val="批注框文本 字符"/>
    <w:basedOn w:val="18"/>
    <w:link w:val="9"/>
    <w:qFormat/>
    <w:uiPriority w:val="0"/>
    <w:rPr>
      <w:rFonts w:ascii="Calibri" w:hAnsi="Calibri"/>
      <w:kern w:val="2"/>
      <w:sz w:val="18"/>
      <w:szCs w:val="18"/>
    </w:rPr>
  </w:style>
  <w:style w:type="paragraph" w:customStyle="1" w:styleId="26">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27">
    <w:name w:val="表头 Char Char Char"/>
    <w:qFormat/>
    <w:uiPriority w:val="0"/>
    <w:rPr>
      <w:rFonts w:ascii="宋体" w:hAnsi="Tahoma" w:eastAsia="宋体"/>
      <w:snapToGrid w:val="0"/>
      <w:spacing w:val="6"/>
      <w:kern w:val="10"/>
      <w:sz w:val="24"/>
    </w:rPr>
  </w:style>
  <w:style w:type="paragraph" w:customStyle="1" w:styleId="28">
    <w:name w:val="表格居中"/>
    <w:basedOn w:val="29"/>
    <w:qFormat/>
    <w:uiPriority w:val="0"/>
    <w:pPr>
      <w:jc w:val="center"/>
    </w:pPr>
  </w:style>
  <w:style w:type="paragraph" w:customStyle="1" w:styleId="29">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Lenovo</Company>
  <Pages>6</Pages>
  <Words>415</Words>
  <Characters>572</Characters>
  <Lines>74</Lines>
  <Paragraphs>21</Paragraphs>
  <TotalTime>10</TotalTime>
  <ScaleCrop>false</ScaleCrop>
  <LinksUpToDate>false</LinksUpToDate>
  <CharactersWithSpaces>579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2026-07-21T00:52:30Z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D0D929FA510A43D3A9560F41C8CE2F7F_13</vt:lpwstr>
  </property>
  <property fmtid="{D5CDD505-2E9C-101B-9397-08002B2CF9AE}" pid="4" name="KSOTemplateDocerSaveRecord">
    <vt:lpwstr>eyJoZGlkIjoiZGUzZDM1ZmJiMDFhOGI2ZDhiOGRlMWVjNDU0MDc0YTgiLCJ1c2VySWQiOiI1NzcyNjAwMzgifQ==</vt:lpwstr>
  </property>
</Properties>
</file>