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1B523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</w:rPr>
        <w:t>安全评价报告</w:t>
      </w:r>
      <w:r>
        <w:rPr>
          <w:rFonts w:ascii="Times New Roman" w:hAnsi="Times New Roman"/>
          <w:b/>
          <w:bCs/>
          <w:kern w:val="0"/>
          <w:sz w:val="28"/>
          <w:szCs w:val="28"/>
          <w:shd w:val="clear" w:color="auto" w:fill="FFFFFF"/>
        </w:rPr>
        <w:t>公开信息表</w:t>
      </w:r>
    </w:p>
    <w:tbl>
      <w:tblPr>
        <w:tblStyle w:val="19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51"/>
        <w:gridCol w:w="1798"/>
        <w:gridCol w:w="3214"/>
        <w:gridCol w:w="2476"/>
      </w:tblGrid>
      <w:tr w14:paraId="3C3E6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A6F8A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项目名称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3D43712">
            <w:pPr>
              <w:widowControl/>
              <w:ind w:firstLine="0" w:firstLineChars="0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富平县顺达加油站</w:t>
            </w:r>
            <w:r>
              <w:rPr>
                <w:color w:val="auto"/>
              </w:rPr>
              <w:t>安全现状评价</w:t>
            </w:r>
          </w:p>
        </w:tc>
      </w:tr>
      <w:tr w14:paraId="47A5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D93D3F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完成时间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A29BE4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0"/>
                <w:lang w:val="en-US" w:eastAsia="zh-CN"/>
              </w:rPr>
              <w:t>11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月</w:t>
            </w:r>
          </w:p>
        </w:tc>
      </w:tr>
      <w:tr w14:paraId="096CA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9239" w:type="dxa"/>
            <w:gridSpan w:val="4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9D40FE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 xml:space="preserve">     评价人员</w:t>
            </w:r>
          </w:p>
        </w:tc>
      </w:tr>
      <w:tr w14:paraId="4AEB7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BBB96CC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0521168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姓名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11227FB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资格证书号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3BB4CC7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  <w:t>从业号</w:t>
            </w:r>
          </w:p>
        </w:tc>
      </w:tr>
      <w:tr w14:paraId="34A3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79D971F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项目负责人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28AC05">
            <w:pPr>
              <w:widowControl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2"/>
              </w:rPr>
              <w:t>赵  艳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4980241">
            <w:pPr>
              <w:widowControl/>
              <w:spacing w:line="360" w:lineRule="auto"/>
              <w:ind w:firstLine="464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1600000000201154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52835A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等线"/>
                <w:color w:val="auto"/>
                <w:spacing w:val="-4"/>
                <w:kern w:val="0"/>
                <w:sz w:val="24"/>
                <w:szCs w:val="22"/>
              </w:rPr>
              <w:t>021833</w:t>
            </w:r>
          </w:p>
        </w:tc>
      </w:tr>
      <w:tr w14:paraId="7D094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751" w:type="dxa"/>
            <w:vMerge w:val="restart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90B5448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项目组成员</w:t>
            </w: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BCEF7B9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王克士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71BB301">
            <w:pPr>
              <w:widowControl/>
              <w:spacing w:line="360" w:lineRule="auto"/>
              <w:ind w:firstLine="48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4"/>
                <w:szCs w:val="20"/>
              </w:rPr>
              <w:t>1200000000200824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09E1EA7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016666</w:t>
            </w:r>
          </w:p>
        </w:tc>
      </w:tr>
      <w:tr w14:paraId="20E5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175124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A79C6C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张志辉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A17CDF2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4"/>
              </w:rPr>
              <w:t>20211004615000001171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D7D0AC5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152203</w:t>
            </w:r>
          </w:p>
          <w:p w14:paraId="593FF5F6">
            <w:pPr>
              <w:widowControl/>
              <w:adjustRightInd w:val="0"/>
              <w:snapToGrid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06682</w:t>
            </w:r>
          </w:p>
        </w:tc>
      </w:tr>
      <w:tr w14:paraId="41BD6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7F64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86B32D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赵云峰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E7244B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1600000000200809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9BC946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030095</w:t>
            </w:r>
          </w:p>
        </w:tc>
      </w:tr>
      <w:tr w14:paraId="6F6BD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751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C671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9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33F7FA1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szCs w:val="20"/>
              </w:rPr>
              <w:t>李  能</w:t>
            </w:r>
          </w:p>
        </w:tc>
        <w:tc>
          <w:tcPr>
            <w:tcW w:w="321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9691ABB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1500000000301650</w:t>
            </w:r>
          </w:p>
        </w:tc>
        <w:tc>
          <w:tcPr>
            <w:tcW w:w="2476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EB2DF4">
            <w:pPr>
              <w:widowControl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pacing w:val="-4"/>
                <w:kern w:val="0"/>
                <w:sz w:val="24"/>
                <w:szCs w:val="20"/>
              </w:rPr>
              <w:t>025782</w:t>
            </w:r>
          </w:p>
        </w:tc>
      </w:tr>
      <w:tr w14:paraId="1A4D8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32A060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技术专家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BDF415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082A3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673EF4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现场勘察人员及时间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B309BD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0B35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E8BCB6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现场核查的人员和时间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27B8BC9">
            <w:pPr>
              <w:widowControl/>
              <w:spacing w:after="150"/>
              <w:jc w:val="center"/>
              <w:rPr>
                <w:rFonts w:hint="default" w:ascii="宋体" w:hAnsi="宋体" w:eastAsia="宋体" w:cs="宋体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202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年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23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日</w:t>
            </w:r>
          </w:p>
        </w:tc>
      </w:tr>
      <w:tr w14:paraId="6F203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DE38C8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项目简介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9B3C889">
            <w:pPr>
              <w:ind w:firstLine="560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  <w:szCs w:val="24"/>
              </w:rPr>
              <w:t>富平县顺达加油站（以下简称“该加油站”）</w:t>
            </w:r>
            <w:r>
              <w:rPr>
                <w:color w:val="auto"/>
                <w:szCs w:val="24"/>
              </w:rPr>
              <w:t>主要由</w:t>
            </w:r>
            <w:r>
              <w:rPr>
                <w:rFonts w:hint="eastAsia"/>
                <w:color w:val="auto"/>
                <w:szCs w:val="24"/>
              </w:rPr>
              <w:t>四</w:t>
            </w:r>
            <w:r>
              <w:rPr>
                <w:color w:val="auto"/>
                <w:szCs w:val="24"/>
              </w:rPr>
              <w:t>部分构成：加油区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储罐区</w:t>
            </w:r>
            <w:r>
              <w:rPr>
                <w:rFonts w:hint="eastAsia"/>
                <w:color w:val="auto"/>
                <w:szCs w:val="24"/>
              </w:rPr>
              <w:t>、</w:t>
            </w:r>
            <w:r>
              <w:rPr>
                <w:color w:val="auto"/>
                <w:szCs w:val="24"/>
              </w:rPr>
              <w:t>站房</w:t>
            </w:r>
            <w:r>
              <w:rPr>
                <w:rFonts w:hint="eastAsia"/>
                <w:color w:val="auto"/>
                <w:szCs w:val="24"/>
              </w:rPr>
              <w:t>和辅助区</w:t>
            </w:r>
            <w:r>
              <w:rPr>
                <w:color w:val="auto"/>
                <w:szCs w:val="24"/>
              </w:rPr>
              <w:t>。现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共设</w:t>
            </w:r>
            <w:r>
              <w:rPr>
                <w:rFonts w:hint="eastAsia"/>
                <w:color w:val="auto"/>
                <w:szCs w:val="24"/>
              </w:rPr>
              <w:t>4</w:t>
            </w:r>
            <w:r>
              <w:rPr>
                <w:color w:val="auto"/>
                <w:szCs w:val="24"/>
              </w:rPr>
              <w:t>台卧式埋地</w:t>
            </w:r>
            <w:r>
              <w:rPr>
                <w:rFonts w:hint="eastAsia"/>
                <w:color w:val="auto"/>
                <w:szCs w:val="24"/>
              </w:rPr>
              <w:t>S</w:t>
            </w:r>
            <w:r>
              <w:rPr>
                <w:color w:val="auto"/>
                <w:szCs w:val="24"/>
              </w:rPr>
              <w:t>F双层储油罐，分别为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0m³汽油罐</w:t>
            </w:r>
            <w:r>
              <w:rPr>
                <w:rFonts w:hint="eastAsia"/>
                <w:color w:val="auto"/>
                <w:szCs w:val="24"/>
              </w:rPr>
              <w:t>（92#汽油罐和95#汽油罐各1个）</w:t>
            </w:r>
            <w:r>
              <w:rPr>
                <w:color w:val="auto"/>
                <w:szCs w:val="24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2</w:t>
            </w:r>
            <w:r>
              <w:rPr>
                <w:color w:val="auto"/>
                <w:szCs w:val="24"/>
              </w:rPr>
              <w:t>台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0m³柴油罐</w:t>
            </w:r>
            <w:r>
              <w:rPr>
                <w:rFonts w:hint="eastAsia"/>
                <w:color w:val="auto"/>
                <w:szCs w:val="24"/>
              </w:rPr>
              <w:t>（0#柴油罐2个）</w:t>
            </w:r>
            <w:r>
              <w:rPr>
                <w:color w:val="auto"/>
                <w:szCs w:val="24"/>
              </w:rPr>
              <w:t>。</w:t>
            </w:r>
          </w:p>
          <w:p w14:paraId="0030F4C1">
            <w:pPr>
              <w:ind w:firstLine="560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color w:val="auto"/>
                <w:szCs w:val="24"/>
              </w:rPr>
              <w:t>根据</w:t>
            </w:r>
            <w:r>
              <w:rPr>
                <w:rFonts w:hint="eastAsia"/>
                <w:color w:val="auto"/>
                <w:szCs w:val="24"/>
              </w:rPr>
              <w:t>《汽车加油加气加氢站技术标准》（GB50156-2021）</w:t>
            </w:r>
            <w:r>
              <w:rPr>
                <w:color w:val="auto"/>
                <w:szCs w:val="24"/>
              </w:rPr>
              <w:t>规定，汽油容积为：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0m³=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m³，柴油折半容积为：</w:t>
            </w:r>
            <w:r>
              <w:rPr>
                <w:rFonts w:hint="eastAsia"/>
                <w:color w:val="auto"/>
                <w:szCs w:val="24"/>
              </w:rPr>
              <w:t>60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m³，总容积：V=</w:t>
            </w:r>
            <w:r>
              <w:rPr>
                <w:rFonts w:hint="eastAsia"/>
                <w:color w:val="auto"/>
                <w:szCs w:val="24"/>
              </w:rPr>
              <w:t>30</w:t>
            </w:r>
            <w:r>
              <w:rPr>
                <w:color w:val="auto"/>
                <w:szCs w:val="24"/>
              </w:rPr>
              <w:t>m³+</w:t>
            </w: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0m³+</w:t>
            </w:r>
            <w:r>
              <w:rPr>
                <w:rFonts w:hint="eastAsia"/>
                <w:color w:val="auto"/>
                <w:szCs w:val="24"/>
                <w:lang w:val="en-US" w:eastAsia="zh-CN"/>
              </w:rPr>
              <w:t>6</w:t>
            </w:r>
            <w:r>
              <w:rPr>
                <w:rFonts w:hint="eastAsia"/>
                <w:color w:val="auto"/>
                <w:szCs w:val="24"/>
              </w:rPr>
              <w:t>0</w:t>
            </w:r>
            <w:r>
              <w:rPr>
                <w:color w:val="auto"/>
                <w:szCs w:val="24"/>
              </w:rPr>
              <w:t>m³×0.5=</w:t>
            </w:r>
            <w:r>
              <w:rPr>
                <w:rFonts w:hint="eastAsia"/>
                <w:color w:val="auto"/>
                <w:szCs w:val="24"/>
              </w:rPr>
              <w:t>90</w:t>
            </w:r>
            <w:r>
              <w:rPr>
                <w:color w:val="auto"/>
                <w:szCs w:val="24"/>
              </w:rPr>
              <w:t>m³。因此，</w:t>
            </w:r>
            <w:r>
              <w:rPr>
                <w:rFonts w:hint="eastAsia"/>
                <w:color w:val="auto"/>
              </w:rPr>
              <w:t>油罐总容积V≤90m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，且单罐容积汽油V≤30m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，柴油V≤50m</w:t>
            </w:r>
            <w:r>
              <w:rPr>
                <w:rFonts w:hint="eastAsia"/>
                <w:color w:val="auto"/>
                <w:vertAlign w:val="superscript"/>
              </w:rPr>
              <w:t>3</w:t>
            </w:r>
            <w:r>
              <w:rPr>
                <w:rFonts w:hint="eastAsia"/>
                <w:color w:val="auto"/>
              </w:rPr>
              <w:t>，</w:t>
            </w:r>
            <w:r>
              <w:rPr>
                <w:rFonts w:hint="eastAsia"/>
                <w:color w:val="auto"/>
                <w:szCs w:val="24"/>
              </w:rPr>
              <w:t>该加油站</w:t>
            </w:r>
            <w:r>
              <w:rPr>
                <w:color w:val="auto"/>
                <w:szCs w:val="24"/>
              </w:rPr>
              <w:t>为</w:t>
            </w:r>
            <w:r>
              <w:rPr>
                <w:rFonts w:hint="eastAsia"/>
                <w:color w:val="auto"/>
                <w:szCs w:val="24"/>
              </w:rPr>
              <w:t>三</w:t>
            </w:r>
            <w:r>
              <w:rPr>
                <w:color w:val="auto"/>
                <w:szCs w:val="24"/>
              </w:rPr>
              <w:t>级加油站</w:t>
            </w:r>
            <w:r>
              <w:rPr>
                <w:rFonts w:hint="eastAsia"/>
                <w:color w:val="auto"/>
                <w:szCs w:val="24"/>
                <w:lang w:eastAsia="zh-CN"/>
              </w:rPr>
              <w:t>。</w:t>
            </w:r>
          </w:p>
        </w:tc>
      </w:tr>
      <w:tr w14:paraId="4E6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jc w:val="center"/>
        </w:trPr>
        <w:tc>
          <w:tcPr>
            <w:tcW w:w="175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114DE97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被评价单位信息反馈情况</w:t>
            </w:r>
          </w:p>
        </w:tc>
        <w:tc>
          <w:tcPr>
            <w:tcW w:w="7488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840A0DC">
            <w:pPr>
              <w:widowControl/>
              <w:spacing w:after="15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shd w:val="clear" w:color="auto" w:fill="FFFFFF"/>
              </w:rPr>
              <w:t>满意</w:t>
            </w:r>
          </w:p>
        </w:tc>
      </w:tr>
    </w:tbl>
    <w:p w14:paraId="52D545A2">
      <w:pP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Times New Roman" w:hAnsi="Times New Roman"/>
          <w:kern w:val="0"/>
          <w:sz w:val="28"/>
          <w:szCs w:val="28"/>
          <w:shd w:val="clear" w:color="auto" w:fill="FFFFFF"/>
          <w:lang w:val="en-US" w:eastAsia="zh-CN"/>
        </w:rPr>
        <w:br w:type="page"/>
      </w:r>
    </w:p>
    <w:p w14:paraId="2EC40581">
      <w:pPr>
        <w:rPr>
          <w:rFonts w:hint="default" w:ascii="Times New Roman" w:hAnsi="Times New Roman" w:eastAsia="仿宋_GB2312" w:cs="Times New Roman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/>
          <w:b/>
          <w:bCs/>
          <w:kern w:val="0"/>
          <w:sz w:val="28"/>
          <w:szCs w:val="28"/>
          <w:shd w:val="clear" w:color="auto" w:fill="FFFFFF"/>
          <w:lang w:val="en-US" w:eastAsia="zh-CN"/>
        </w:rPr>
        <w:t>评价人员现场照片</w:t>
      </w:r>
      <w:r>
        <w:rPr>
          <w:rFonts w:hint="eastAsia" w:ascii="Times New Roman" w:hAnsi="Times New Roman" w:eastAsia="仿宋_GB2312" w:cs="Times New Roman"/>
          <w:kern w:val="2"/>
          <w:sz w:val="22"/>
          <w:szCs w:val="22"/>
          <w:lang w:val="en-US" w:eastAsia="zh-CN" w:bidi="ar-SA"/>
        </w:rPr>
        <w:t>（项目负责人、项目组成员厂区门口及主要设施前打卡照片）</w:t>
      </w:r>
    </w:p>
    <w:p w14:paraId="274B9DD8">
      <w:pPr>
        <w:rPr>
          <w:lang w:val="en-US" w:eastAsia="zh-CN"/>
        </w:rPr>
      </w:pPr>
      <w:r>
        <w:rPr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7" name="图片 7" descr="IMG_20251014_095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0251014_0952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97AF1">
      <w:pPr>
        <w:rPr>
          <w:rFonts w:hint="default"/>
          <w:lang w:val="en-US" w:eastAsia="zh-CN"/>
        </w:rPr>
      </w:pPr>
    </w:p>
    <w:p w14:paraId="6B87874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8" name="图片 8" descr="IMG_20251014_095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0251014_0952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4BD4B">
      <w:pPr>
        <w:jc w:val="center"/>
        <w:rPr>
          <w:rFonts w:hint="default"/>
          <w:lang w:val="en-US" w:eastAsia="zh-CN"/>
        </w:rPr>
      </w:pPr>
    </w:p>
    <w:p w14:paraId="0ED14C65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8595" cy="3950335"/>
            <wp:effectExtent l="0" t="0" r="8255" b="12065"/>
            <wp:docPr id="9" name="图片 9" descr="微信图片_20250911172844_220_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50911172844_220_3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13ABF">
      <w:p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4972050" cy="7029450"/>
            <wp:effectExtent l="0" t="0" r="0" b="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24425" cy="7029450"/>
            <wp:effectExtent l="0" t="0" r="9525" b="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962525" cy="7048500"/>
            <wp:effectExtent l="0" t="0" r="9525" b="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010150" cy="7029450"/>
            <wp:effectExtent l="0" t="0" r="0" b="0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702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MjdiZTZhYWEwMDUyMzMwMzdhZWM2ZmNjMGMzMDkifQ=="/>
  </w:docVars>
  <w:rsids>
    <w:rsidRoot w:val="00E3751A"/>
    <w:rsid w:val="00047227"/>
    <w:rsid w:val="00303C12"/>
    <w:rsid w:val="003A7C06"/>
    <w:rsid w:val="004D1AF7"/>
    <w:rsid w:val="00756850"/>
    <w:rsid w:val="00802085"/>
    <w:rsid w:val="00C75118"/>
    <w:rsid w:val="00C82162"/>
    <w:rsid w:val="00D40559"/>
    <w:rsid w:val="00E3751A"/>
    <w:rsid w:val="01381A2C"/>
    <w:rsid w:val="01A72F08"/>
    <w:rsid w:val="027B6F4E"/>
    <w:rsid w:val="03C37305"/>
    <w:rsid w:val="04543719"/>
    <w:rsid w:val="045937F4"/>
    <w:rsid w:val="04664971"/>
    <w:rsid w:val="04714B20"/>
    <w:rsid w:val="04D11406"/>
    <w:rsid w:val="04E23328"/>
    <w:rsid w:val="060934BE"/>
    <w:rsid w:val="065A7F9B"/>
    <w:rsid w:val="06EF6353"/>
    <w:rsid w:val="07D32EB9"/>
    <w:rsid w:val="07E46E00"/>
    <w:rsid w:val="08300409"/>
    <w:rsid w:val="08302FF8"/>
    <w:rsid w:val="08396F17"/>
    <w:rsid w:val="08ED0200"/>
    <w:rsid w:val="096769A3"/>
    <w:rsid w:val="096F1B10"/>
    <w:rsid w:val="0A0E1339"/>
    <w:rsid w:val="0A28551C"/>
    <w:rsid w:val="0BC750FD"/>
    <w:rsid w:val="0C371DD6"/>
    <w:rsid w:val="0D073DB5"/>
    <w:rsid w:val="0D081033"/>
    <w:rsid w:val="0EAC631D"/>
    <w:rsid w:val="0EEC1723"/>
    <w:rsid w:val="0F1C6141"/>
    <w:rsid w:val="101628B2"/>
    <w:rsid w:val="10806817"/>
    <w:rsid w:val="10AE1BD9"/>
    <w:rsid w:val="13FA1B12"/>
    <w:rsid w:val="140D1357"/>
    <w:rsid w:val="141C622E"/>
    <w:rsid w:val="15DC65E3"/>
    <w:rsid w:val="17550DB0"/>
    <w:rsid w:val="17810296"/>
    <w:rsid w:val="17C601C4"/>
    <w:rsid w:val="18301429"/>
    <w:rsid w:val="188D103C"/>
    <w:rsid w:val="190E35A0"/>
    <w:rsid w:val="191A70DD"/>
    <w:rsid w:val="19992B53"/>
    <w:rsid w:val="19CE23A1"/>
    <w:rsid w:val="1A4E76A5"/>
    <w:rsid w:val="1ADA1B6B"/>
    <w:rsid w:val="1AFA3B2D"/>
    <w:rsid w:val="1B63147C"/>
    <w:rsid w:val="1C4B6410"/>
    <w:rsid w:val="1CD13F56"/>
    <w:rsid w:val="1CD14F1F"/>
    <w:rsid w:val="1F142A61"/>
    <w:rsid w:val="1FAC2BD1"/>
    <w:rsid w:val="214C4107"/>
    <w:rsid w:val="21A13C43"/>
    <w:rsid w:val="2282270A"/>
    <w:rsid w:val="23532900"/>
    <w:rsid w:val="23B37411"/>
    <w:rsid w:val="24150BCD"/>
    <w:rsid w:val="242E50EF"/>
    <w:rsid w:val="24775815"/>
    <w:rsid w:val="257639F8"/>
    <w:rsid w:val="271635D9"/>
    <w:rsid w:val="27280E94"/>
    <w:rsid w:val="27F61196"/>
    <w:rsid w:val="297A3C20"/>
    <w:rsid w:val="29925FE1"/>
    <w:rsid w:val="29C972C6"/>
    <w:rsid w:val="29FC7E30"/>
    <w:rsid w:val="2BD9110B"/>
    <w:rsid w:val="2CF970FD"/>
    <w:rsid w:val="2DDC4BB8"/>
    <w:rsid w:val="2EAE6403"/>
    <w:rsid w:val="339918AA"/>
    <w:rsid w:val="351530F3"/>
    <w:rsid w:val="35211925"/>
    <w:rsid w:val="36577381"/>
    <w:rsid w:val="366115C7"/>
    <w:rsid w:val="37285AB1"/>
    <w:rsid w:val="375C6F30"/>
    <w:rsid w:val="3781684D"/>
    <w:rsid w:val="3823766B"/>
    <w:rsid w:val="38BA1261"/>
    <w:rsid w:val="396748BA"/>
    <w:rsid w:val="3AB6680E"/>
    <w:rsid w:val="3AD61658"/>
    <w:rsid w:val="3AF50232"/>
    <w:rsid w:val="3B251FB8"/>
    <w:rsid w:val="3B3712DA"/>
    <w:rsid w:val="3B622014"/>
    <w:rsid w:val="3C7D28D5"/>
    <w:rsid w:val="3D027FC2"/>
    <w:rsid w:val="3D047689"/>
    <w:rsid w:val="3D3D4FC4"/>
    <w:rsid w:val="3DEB4A20"/>
    <w:rsid w:val="3EB62D94"/>
    <w:rsid w:val="3FDA2F9E"/>
    <w:rsid w:val="416C231C"/>
    <w:rsid w:val="41C84509"/>
    <w:rsid w:val="42305ED2"/>
    <w:rsid w:val="42355182"/>
    <w:rsid w:val="43120BD6"/>
    <w:rsid w:val="43F50190"/>
    <w:rsid w:val="4432163F"/>
    <w:rsid w:val="45092F9E"/>
    <w:rsid w:val="4546743F"/>
    <w:rsid w:val="45A13141"/>
    <w:rsid w:val="46966FC2"/>
    <w:rsid w:val="47EE36B2"/>
    <w:rsid w:val="481822D3"/>
    <w:rsid w:val="48AF6D87"/>
    <w:rsid w:val="49CE6C17"/>
    <w:rsid w:val="4CDE060B"/>
    <w:rsid w:val="4E144BA8"/>
    <w:rsid w:val="4E3D5914"/>
    <w:rsid w:val="4EC87688"/>
    <w:rsid w:val="515A3854"/>
    <w:rsid w:val="52CC47C0"/>
    <w:rsid w:val="52E07D49"/>
    <w:rsid w:val="5374510A"/>
    <w:rsid w:val="5503044A"/>
    <w:rsid w:val="563D2137"/>
    <w:rsid w:val="57301D47"/>
    <w:rsid w:val="573D68AC"/>
    <w:rsid w:val="57487036"/>
    <w:rsid w:val="5762287F"/>
    <w:rsid w:val="57800B40"/>
    <w:rsid w:val="57CD2DFE"/>
    <w:rsid w:val="58244FE5"/>
    <w:rsid w:val="584B13F6"/>
    <w:rsid w:val="5984145C"/>
    <w:rsid w:val="59D926D2"/>
    <w:rsid w:val="5A3C20EF"/>
    <w:rsid w:val="5AA52A54"/>
    <w:rsid w:val="5BC05975"/>
    <w:rsid w:val="5C0F4EFE"/>
    <w:rsid w:val="5D89238E"/>
    <w:rsid w:val="5DA30A1C"/>
    <w:rsid w:val="5E3F6556"/>
    <w:rsid w:val="5E8C3C37"/>
    <w:rsid w:val="5EBC6D64"/>
    <w:rsid w:val="5F182B4A"/>
    <w:rsid w:val="5FD163AE"/>
    <w:rsid w:val="60057BEA"/>
    <w:rsid w:val="60B460AF"/>
    <w:rsid w:val="619747AF"/>
    <w:rsid w:val="621C336D"/>
    <w:rsid w:val="62EA5BC6"/>
    <w:rsid w:val="64126CC6"/>
    <w:rsid w:val="648F0582"/>
    <w:rsid w:val="6559245A"/>
    <w:rsid w:val="658C415A"/>
    <w:rsid w:val="66C53C4A"/>
    <w:rsid w:val="673B297E"/>
    <w:rsid w:val="678F323C"/>
    <w:rsid w:val="68233EA0"/>
    <w:rsid w:val="6AA57F27"/>
    <w:rsid w:val="6CC37EB5"/>
    <w:rsid w:val="6D1139EB"/>
    <w:rsid w:val="6E2A4841"/>
    <w:rsid w:val="6F3D1DEF"/>
    <w:rsid w:val="71276AD1"/>
    <w:rsid w:val="7160445C"/>
    <w:rsid w:val="71697143"/>
    <w:rsid w:val="716C6A50"/>
    <w:rsid w:val="7207397B"/>
    <w:rsid w:val="72C43B37"/>
    <w:rsid w:val="737D1DEA"/>
    <w:rsid w:val="748B2EA1"/>
    <w:rsid w:val="74AE0F56"/>
    <w:rsid w:val="76DB0DCF"/>
    <w:rsid w:val="770403EE"/>
    <w:rsid w:val="771E190D"/>
    <w:rsid w:val="77832F9B"/>
    <w:rsid w:val="77E51300"/>
    <w:rsid w:val="784004D1"/>
    <w:rsid w:val="78725E9B"/>
    <w:rsid w:val="79302291"/>
    <w:rsid w:val="7B424553"/>
    <w:rsid w:val="7BB96559"/>
    <w:rsid w:val="7C304A31"/>
    <w:rsid w:val="7D9B14E2"/>
    <w:rsid w:val="7DB7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napToGrid w:val="0"/>
      <w:spacing w:beforeLines="50" w:afterLines="50"/>
      <w:outlineLvl w:val="1"/>
    </w:pPr>
    <w:rPr>
      <w:rFonts w:eastAsia="楷体_GB2312" w:cs="MS Gothic"/>
      <w:b/>
      <w:snapToGrid w:val="0"/>
      <w:kern w:val="0"/>
      <w:sz w:val="32"/>
      <w:szCs w:val="28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60" w:lineRule="atLeast"/>
      <w:ind w:firstLine="420"/>
      <w:jc w:val="left"/>
      <w:textAlignment w:val="baseline"/>
    </w:pPr>
    <w:rPr>
      <w:rFonts w:eastAsia="仿宋_GB2312"/>
      <w:kern w:val="0"/>
      <w:sz w:val="28"/>
      <w:szCs w:val="20"/>
    </w:rPr>
  </w:style>
  <w:style w:type="paragraph" w:styleId="5">
    <w:name w:val="Body Text"/>
    <w:basedOn w:val="1"/>
    <w:next w:val="6"/>
    <w:qFormat/>
    <w:uiPriority w:val="99"/>
    <w:rPr>
      <w:sz w:val="28"/>
      <w:szCs w:val="28"/>
    </w:rPr>
  </w:style>
  <w:style w:type="paragraph" w:styleId="6">
    <w:name w:val="Body Text 2"/>
    <w:basedOn w:val="1"/>
    <w:qFormat/>
    <w:uiPriority w:val="0"/>
    <w:rPr>
      <w:rFonts w:ascii="楷体_GB2312" w:eastAsia="楷体_GB2312"/>
      <w:sz w:val="28"/>
    </w:rPr>
  </w:style>
  <w:style w:type="paragraph" w:styleId="7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Body Text Indent 2"/>
    <w:basedOn w:val="1"/>
    <w:qFormat/>
    <w:uiPriority w:val="0"/>
    <w:pPr>
      <w:spacing w:before="100" w:beforeAutospacing="1" w:after="100" w:afterAutospacing="1"/>
      <w:ind w:firstLine="602" w:firstLineChars="215"/>
    </w:pPr>
    <w:rPr>
      <w:color w:val="000000"/>
      <w:sz w:val="28"/>
    </w:rPr>
  </w:style>
  <w:style w:type="paragraph" w:styleId="10">
    <w:name w:val="Balloon Text"/>
    <w:basedOn w:val="1"/>
    <w:link w:val="27"/>
    <w:qFormat/>
    <w:uiPriority w:val="0"/>
    <w:rPr>
      <w:sz w:val="18"/>
      <w:szCs w:val="18"/>
    </w:rPr>
  </w:style>
  <w:style w:type="paragraph" w:styleId="11">
    <w:name w:val="footer"/>
    <w:basedOn w:val="1"/>
    <w:next w:val="12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2">
    <w:name w:val="Normal (Web)"/>
    <w:basedOn w:val="1"/>
    <w:next w:val="13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3">
    <w:name w:val="toc 84"/>
    <w:next w:val="1"/>
    <w:qFormat/>
    <w:uiPriority w:val="0"/>
    <w:pPr>
      <w:wordWrap w:val="0"/>
      <w:ind w:left="297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List"/>
    <w:basedOn w:val="1"/>
    <w:next w:val="1"/>
    <w:qFormat/>
    <w:uiPriority w:val="0"/>
    <w:pPr>
      <w:widowControl w:val="0"/>
      <w:spacing w:line="240" w:lineRule="auto"/>
      <w:ind w:left="200" w:hanging="200" w:hangingChars="200"/>
      <w:jc w:val="both"/>
      <w:textAlignment w:val="auto"/>
    </w:pPr>
    <w:rPr>
      <w:rFonts w:ascii="Times New Roman" w:hAnsi="Times New Roman" w:eastAsia="宋体" w:cs="Times New Roman"/>
      <w:color w:val="auto"/>
      <w:kern w:val="2"/>
      <w:sz w:val="28"/>
      <w:szCs w:val="24"/>
      <w:u w:val="none" w:color="auto"/>
      <w:lang w:val="en-US" w:eastAsia="zh-CN" w:bidi="ar-SA"/>
    </w:rPr>
  </w:style>
  <w:style w:type="paragraph" w:styleId="16">
    <w:name w:val="Body Text Indent 3"/>
    <w:basedOn w:val="1"/>
    <w:qFormat/>
    <w:uiPriority w:val="0"/>
    <w:pPr>
      <w:widowControl w:val="0"/>
      <w:ind w:firstLine="630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paragraph" w:styleId="17">
    <w:name w:val="Body Text First Indent"/>
    <w:basedOn w:val="5"/>
    <w:qFormat/>
    <w:uiPriority w:val="0"/>
    <w:pPr>
      <w:spacing w:after="120"/>
      <w:ind w:firstLine="420" w:firstLineChars="100"/>
    </w:pPr>
  </w:style>
  <w:style w:type="paragraph" w:styleId="18">
    <w:name w:val="Body Text First Indent 2"/>
    <w:basedOn w:val="7"/>
    <w:next w:val="5"/>
    <w:unhideWhenUsed/>
    <w:qFormat/>
    <w:uiPriority w:val="99"/>
    <w:pPr>
      <w:ind w:firstLine="420" w:firstLineChars="200"/>
    </w:pPr>
  </w:style>
  <w:style w:type="paragraph" w:customStyle="1" w:styleId="21">
    <w:name w:val="样式 首行缩进:  2 字符"/>
    <w:basedOn w:val="1"/>
    <w:qFormat/>
    <w:uiPriority w:val="0"/>
    <w:pPr>
      <w:widowControl/>
      <w:tabs>
        <w:tab w:val="left" w:pos="0"/>
      </w:tabs>
      <w:spacing w:line="560" w:lineRule="exact"/>
      <w:ind w:firstLine="560" w:firstLineChars="200"/>
      <w:jc w:val="left"/>
    </w:pPr>
    <w:rPr>
      <w:rFonts w:ascii="宋体" w:hAnsi="宋体" w:eastAsia="仿宋_GB2312" w:cs="宋体"/>
      <w:spacing w:val="12"/>
      <w:kern w:val="0"/>
      <w:sz w:val="28"/>
      <w:szCs w:val="20"/>
    </w:rPr>
  </w:style>
  <w:style w:type="paragraph" w:customStyle="1" w:styleId="22">
    <w:name w:val="li_正文"/>
    <w:basedOn w:val="1"/>
    <w:qFormat/>
    <w:uiPriority w:val="0"/>
    <w:pPr>
      <w:topLinePunct/>
      <w:adjustRightInd w:val="0"/>
      <w:snapToGrid w:val="0"/>
      <w:spacing w:line="360" w:lineRule="auto"/>
      <w:ind w:firstLine="700" w:firstLineChars="250"/>
    </w:pPr>
    <w:rPr>
      <w:rFonts w:ascii="宋体" w:hAnsi="宋体"/>
      <w:sz w:val="28"/>
      <w:szCs w:val="28"/>
    </w:rPr>
  </w:style>
  <w:style w:type="paragraph" w:customStyle="1" w:styleId="23">
    <w:name w:val="Default"/>
    <w:next w:val="18"/>
    <w:qFormat/>
    <w:uiPriority w:val="0"/>
    <w:pPr>
      <w:widowControl w:val="0"/>
      <w:autoSpaceDE w:val="0"/>
      <w:autoSpaceDN w:val="0"/>
    </w:pPr>
    <w:rPr>
      <w:rFonts w:hint="eastAsia"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4">
    <w:name w:val="样式 标题 2"/>
    <w:basedOn w:val="3"/>
    <w:qFormat/>
    <w:uiPriority w:val="0"/>
    <w:pPr>
      <w:spacing w:beforeLines="0" w:afterLines="0"/>
    </w:pPr>
    <w:rPr>
      <w:rFonts w:ascii="Arial" w:hAnsi="Arial" w:eastAsia="宋体" w:cs="宋体"/>
      <w:snapToGrid/>
      <w:kern w:val="2"/>
      <w:szCs w:val="32"/>
      <w:lang w:val="zh-CN"/>
    </w:rPr>
  </w:style>
  <w:style w:type="paragraph" w:customStyle="1" w:styleId="25">
    <w:name w:val="样式 10 磅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27">
    <w:name w:val="批注框文本 字符"/>
    <w:basedOn w:val="20"/>
    <w:link w:val="10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28">
    <w:name w:val="111"/>
    <w:basedOn w:val="1"/>
    <w:qFormat/>
    <w:uiPriority w:val="99"/>
    <w:pPr>
      <w:widowControl/>
      <w:tabs>
        <w:tab w:val="left" w:pos="0"/>
      </w:tabs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9">
    <w:name w:val="表头 Char Char Char"/>
    <w:qFormat/>
    <w:uiPriority w:val="0"/>
    <w:rPr>
      <w:rFonts w:ascii="宋体" w:hAnsi="Tahoma" w:eastAsia="宋体"/>
      <w:snapToGrid w:val="0"/>
      <w:spacing w:val="6"/>
      <w:kern w:val="10"/>
      <w:sz w:val="24"/>
    </w:rPr>
  </w:style>
  <w:style w:type="paragraph" w:customStyle="1" w:styleId="30">
    <w:name w:val="表格居中"/>
    <w:basedOn w:val="31"/>
    <w:qFormat/>
    <w:uiPriority w:val="0"/>
    <w:pPr>
      <w:jc w:val="center"/>
    </w:pPr>
  </w:style>
  <w:style w:type="paragraph" w:customStyle="1" w:styleId="31">
    <w:name w:val="表格一"/>
    <w:basedOn w:val="1"/>
    <w:qFormat/>
    <w:uiPriority w:val="0"/>
    <w:pPr>
      <w:autoSpaceDE w:val="0"/>
      <w:autoSpaceDN w:val="0"/>
      <w:adjustRightInd w:val="0"/>
      <w:snapToGrid w:val="0"/>
      <w:spacing w:line="240" w:lineRule="atLeast"/>
      <w:jc w:val="left"/>
    </w:pPr>
    <w:rPr>
      <w:rFonts w:hAnsi="宋体"/>
      <w:color w:val="000000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7</Pages>
  <Words>363</Words>
  <Characters>564</Characters>
  <Lines>74</Lines>
  <Paragraphs>21</Paragraphs>
  <TotalTime>3</TotalTime>
  <ScaleCrop>false</ScaleCrop>
  <LinksUpToDate>false</LinksUpToDate>
  <CharactersWithSpaces>573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2020-04-30T03:42:00Z</dcterms:created>
  <dc:creator>Administrator</dc:creator>
  <cp:lastModifiedBy>SOUTHLEE</cp:lastModifiedBy>
  <dcterms:modified xsi:type="dcterms:W3CDTF">2026-04-14T11:44:03Z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FAD72477549F48ED9F0CCB0AE8331C3C_13</vt:lpwstr>
  </property>
  <property fmtid="{D5CDD505-2E9C-101B-9397-08002B2CF9AE}" pid="4" name="KSOTemplateDocerSaveRecord">
    <vt:lpwstr>eyJoZGlkIjoiY2M0YmRjYWVjNTBiM2JhODI3ZmZkZDdiOTdlOTY4NDIiLCJ1c2VySWQiOiIzMTc4NDk5OTMifQ==</vt:lpwstr>
  </property>
</Properties>
</file>