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5E4E5">
      <w:pPr>
        <w:jc w:val="both"/>
        <w:rPr>
          <w:rFonts w:hint="eastAsia" w:ascii="Times New Roman" w:hAnsi="Times New Roman"/>
          <w:kern w:val="0"/>
          <w:sz w:val="28"/>
          <w:szCs w:val="28"/>
          <w:shd w:val="clear" w:color="auto" w:fill="FFFFFF"/>
        </w:rPr>
      </w:pPr>
    </w:p>
    <w:p w14:paraId="59618447">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373C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68DE56CE">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3C25F393">
            <w:pPr>
              <w:widowControl/>
              <w:spacing w:after="150"/>
              <w:jc w:val="center"/>
              <w:rPr>
                <w:rFonts w:hint="eastAsia" w:ascii="宋体" w:hAnsi="宋体"/>
                <w:sz w:val="24"/>
                <w:szCs w:val="22"/>
                <w:lang w:eastAsia="zh-CN"/>
              </w:rPr>
            </w:pPr>
            <w:r>
              <w:rPr>
                <w:rFonts w:hint="eastAsia" w:ascii="宋体" w:hAnsi="宋体"/>
                <w:sz w:val="24"/>
                <w:szCs w:val="22"/>
                <w:lang w:eastAsia="zh-CN"/>
              </w:rPr>
              <w:t>江西和凡环保科技有限公司年产20万吨再生电解铜项目（一期）</w:t>
            </w:r>
          </w:p>
          <w:p w14:paraId="20B9C570">
            <w:pPr>
              <w:widowControl/>
              <w:spacing w:after="150"/>
              <w:jc w:val="center"/>
              <w:rPr>
                <w:rFonts w:hint="eastAsia" w:ascii="宋体" w:hAnsi="宋体" w:eastAsia="宋体" w:cs="宋体"/>
                <w:sz w:val="24"/>
                <w:lang w:eastAsia="zh-CN"/>
              </w:rPr>
            </w:pPr>
            <w:r>
              <w:rPr>
                <w:rFonts w:hint="eastAsia" w:ascii="宋体" w:hAnsi="宋体"/>
                <w:sz w:val="24"/>
                <w:szCs w:val="22"/>
                <w:lang w:eastAsia="zh-CN"/>
              </w:rPr>
              <w:t>安全预评价报告</w:t>
            </w:r>
          </w:p>
        </w:tc>
      </w:tr>
      <w:tr w14:paraId="7C1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AE2E23C">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5D51C70B">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3</w:t>
            </w:r>
            <w:r>
              <w:rPr>
                <w:rFonts w:hint="eastAsia" w:ascii="宋体" w:hAnsi="宋体" w:cs="宋体"/>
                <w:sz w:val="24"/>
              </w:rPr>
              <w:t>月</w:t>
            </w:r>
          </w:p>
        </w:tc>
      </w:tr>
      <w:tr w14:paraId="0A6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1A71212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08E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378F62E">
            <w:pPr>
              <w:jc w:val="center"/>
              <w:rPr>
                <w:rFonts w:ascii="宋体" w:hAnsi="宋体" w:cs="宋体"/>
                <w:sz w:val="24"/>
              </w:rPr>
            </w:pPr>
          </w:p>
        </w:tc>
        <w:tc>
          <w:tcPr>
            <w:tcW w:w="1237" w:type="dxa"/>
            <w:tcBorders>
              <w:tl2br w:val="nil"/>
              <w:tr2bl w:val="nil"/>
            </w:tcBorders>
            <w:shd w:val="clear" w:color="auto" w:fill="FFFFFF"/>
            <w:vAlign w:val="center"/>
          </w:tcPr>
          <w:p w14:paraId="7DF4D41E">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B76ABB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71448A8">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9DC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2A157C85">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2AD910A2">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谢雨飞</w:t>
            </w:r>
          </w:p>
        </w:tc>
        <w:tc>
          <w:tcPr>
            <w:tcW w:w="4803" w:type="dxa"/>
            <w:tcBorders>
              <w:tl2br w:val="nil"/>
              <w:tr2bl w:val="nil"/>
            </w:tcBorders>
            <w:shd w:val="clear" w:color="auto" w:fill="FFFFFF"/>
            <w:vAlign w:val="center"/>
          </w:tcPr>
          <w:p w14:paraId="792C35A7">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CAWS350000230200227</w:t>
            </w:r>
          </w:p>
        </w:tc>
        <w:tc>
          <w:tcPr>
            <w:tcW w:w="2115" w:type="dxa"/>
            <w:tcBorders>
              <w:tl2br w:val="nil"/>
              <w:tr2bl w:val="nil"/>
            </w:tcBorders>
            <w:shd w:val="clear" w:color="auto" w:fill="FFFFFF"/>
            <w:vAlign w:val="center"/>
          </w:tcPr>
          <w:p w14:paraId="5954E4E9">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043378</w:t>
            </w:r>
          </w:p>
        </w:tc>
      </w:tr>
      <w:tr w14:paraId="5AC0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58DF1A50">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7C70241C">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赵云峰</w:t>
            </w:r>
          </w:p>
        </w:tc>
        <w:tc>
          <w:tcPr>
            <w:tcW w:w="4803" w:type="dxa"/>
            <w:tcBorders>
              <w:tl2br w:val="nil"/>
              <w:tr2bl w:val="nil"/>
            </w:tcBorders>
            <w:shd w:val="clear" w:color="auto" w:fill="FFFFFF"/>
            <w:vAlign w:val="center"/>
          </w:tcPr>
          <w:p w14:paraId="404CC542">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1600000000200809</w:t>
            </w:r>
          </w:p>
        </w:tc>
        <w:tc>
          <w:tcPr>
            <w:tcW w:w="2115" w:type="dxa"/>
            <w:tcBorders>
              <w:tl2br w:val="nil"/>
              <w:tr2bl w:val="nil"/>
            </w:tcBorders>
            <w:shd w:val="clear" w:color="auto" w:fill="FFFFFF"/>
            <w:vAlign w:val="center"/>
          </w:tcPr>
          <w:p w14:paraId="782951DB">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030095</w:t>
            </w:r>
          </w:p>
        </w:tc>
      </w:tr>
      <w:tr w14:paraId="6639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887BEAF">
            <w:pPr>
              <w:jc w:val="center"/>
              <w:rPr>
                <w:rFonts w:ascii="宋体" w:hAnsi="宋体" w:cs="宋体"/>
                <w:sz w:val="24"/>
              </w:rPr>
            </w:pPr>
          </w:p>
        </w:tc>
        <w:tc>
          <w:tcPr>
            <w:tcW w:w="1237" w:type="dxa"/>
            <w:tcBorders>
              <w:tl2br w:val="nil"/>
              <w:tr2bl w:val="nil"/>
            </w:tcBorders>
            <w:shd w:val="clear" w:color="auto" w:fill="FFFFFF"/>
            <w:vAlign w:val="center"/>
          </w:tcPr>
          <w:p w14:paraId="3AECF605">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张志辉</w:t>
            </w:r>
          </w:p>
        </w:tc>
        <w:tc>
          <w:tcPr>
            <w:tcW w:w="4803" w:type="dxa"/>
            <w:tcBorders>
              <w:tl2br w:val="nil"/>
              <w:tr2bl w:val="nil"/>
            </w:tcBorders>
            <w:shd w:val="clear" w:color="auto" w:fill="FFFFFF"/>
            <w:vAlign w:val="center"/>
          </w:tcPr>
          <w:p w14:paraId="3F218D8D">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S011011000110193000138</w:t>
            </w:r>
          </w:p>
        </w:tc>
        <w:tc>
          <w:tcPr>
            <w:tcW w:w="2115" w:type="dxa"/>
            <w:tcBorders>
              <w:tl2br w:val="nil"/>
              <w:tr2bl w:val="nil"/>
            </w:tcBorders>
            <w:shd w:val="clear" w:color="auto" w:fill="FFFFFF"/>
            <w:vAlign w:val="center"/>
          </w:tcPr>
          <w:p w14:paraId="0F0D8BA0">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038124</w:t>
            </w:r>
          </w:p>
        </w:tc>
      </w:tr>
      <w:tr w14:paraId="1D6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BC1C2A7">
            <w:pPr>
              <w:jc w:val="center"/>
              <w:rPr>
                <w:rFonts w:ascii="宋体" w:hAnsi="宋体" w:cs="宋体"/>
                <w:sz w:val="24"/>
              </w:rPr>
            </w:pPr>
          </w:p>
        </w:tc>
        <w:tc>
          <w:tcPr>
            <w:tcW w:w="1237" w:type="dxa"/>
            <w:tcBorders>
              <w:tl2br w:val="nil"/>
              <w:tr2bl w:val="nil"/>
            </w:tcBorders>
            <w:shd w:val="clear" w:color="auto" w:fill="FFFFFF"/>
            <w:vAlign w:val="center"/>
          </w:tcPr>
          <w:p w14:paraId="49EA8F9A">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王静</w:t>
            </w:r>
          </w:p>
        </w:tc>
        <w:tc>
          <w:tcPr>
            <w:tcW w:w="4803" w:type="dxa"/>
            <w:tcBorders>
              <w:tl2br w:val="nil"/>
              <w:tr2bl w:val="nil"/>
            </w:tcBorders>
            <w:shd w:val="clear" w:color="auto" w:fill="FFFFFF"/>
            <w:vAlign w:val="center"/>
          </w:tcPr>
          <w:p w14:paraId="3AFA1E3D">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1800000000300838</w:t>
            </w:r>
          </w:p>
        </w:tc>
        <w:tc>
          <w:tcPr>
            <w:tcW w:w="2115" w:type="dxa"/>
            <w:tcBorders>
              <w:tl2br w:val="nil"/>
              <w:tr2bl w:val="nil"/>
            </w:tcBorders>
            <w:shd w:val="clear" w:color="auto" w:fill="FFFFFF"/>
            <w:vAlign w:val="center"/>
          </w:tcPr>
          <w:p w14:paraId="40BC3936">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034276</w:t>
            </w:r>
          </w:p>
        </w:tc>
      </w:tr>
      <w:tr w14:paraId="160E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6906CDEE">
            <w:pPr>
              <w:jc w:val="center"/>
              <w:rPr>
                <w:rFonts w:ascii="宋体" w:hAnsi="宋体" w:cs="宋体"/>
                <w:sz w:val="24"/>
              </w:rPr>
            </w:pPr>
          </w:p>
        </w:tc>
        <w:tc>
          <w:tcPr>
            <w:tcW w:w="1237" w:type="dxa"/>
            <w:tcBorders>
              <w:tl2br w:val="nil"/>
              <w:tr2bl w:val="nil"/>
            </w:tcBorders>
            <w:shd w:val="clear" w:color="auto" w:fill="FFFFFF"/>
            <w:vAlign w:val="center"/>
          </w:tcPr>
          <w:p w14:paraId="71F8DBD5">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乔贯德</w:t>
            </w:r>
          </w:p>
        </w:tc>
        <w:tc>
          <w:tcPr>
            <w:tcW w:w="4803" w:type="dxa"/>
            <w:tcBorders>
              <w:tl2br w:val="nil"/>
              <w:tr2bl w:val="nil"/>
            </w:tcBorders>
            <w:shd w:val="clear" w:color="auto" w:fill="FFFFFF"/>
            <w:vAlign w:val="center"/>
          </w:tcPr>
          <w:p w14:paraId="331FAC55">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1700000000300087</w:t>
            </w:r>
          </w:p>
        </w:tc>
        <w:tc>
          <w:tcPr>
            <w:tcW w:w="2115" w:type="dxa"/>
            <w:tcBorders>
              <w:tl2br w:val="nil"/>
              <w:tr2bl w:val="nil"/>
            </w:tcBorders>
            <w:shd w:val="clear" w:color="auto" w:fill="FFFFFF"/>
            <w:vAlign w:val="center"/>
          </w:tcPr>
          <w:p w14:paraId="23566468">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030797</w:t>
            </w:r>
          </w:p>
        </w:tc>
      </w:tr>
      <w:tr w14:paraId="543F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9B802E8">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0A57008B">
            <w:pPr>
              <w:jc w:val="center"/>
              <w:rPr>
                <w:rFonts w:ascii="宋体" w:hAnsi="宋体" w:cs="宋体"/>
                <w:sz w:val="24"/>
              </w:rPr>
            </w:pPr>
            <w:r>
              <w:rPr>
                <w:rFonts w:hint="eastAsia" w:ascii="宋体" w:hAnsi="宋体" w:cs="宋体"/>
                <w:sz w:val="24"/>
              </w:rPr>
              <w:t>/</w:t>
            </w:r>
          </w:p>
        </w:tc>
      </w:tr>
      <w:tr w14:paraId="4686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041177EC">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1D05DF95">
            <w:pPr>
              <w:widowControl/>
              <w:spacing w:after="150"/>
              <w:jc w:val="center"/>
              <w:rPr>
                <w:rFonts w:hint="default" w:ascii="Times New Roman" w:hAnsi="Times New Roman" w:eastAsia="宋体"/>
                <w:sz w:val="24"/>
                <w:lang w:val="en-US" w:eastAsia="zh-CN"/>
              </w:rPr>
            </w:pPr>
            <w:r>
              <w:rPr>
                <w:rFonts w:hint="eastAsia" w:ascii="宋体" w:hAnsi="宋体" w:eastAsia="宋体" w:cs="宋体"/>
                <w:color w:val="000000"/>
                <w:sz w:val="24"/>
                <w:szCs w:val="24"/>
              </w:rPr>
              <w:t>谢雨飞</w:t>
            </w:r>
            <w:r>
              <w:rPr>
                <w:rFonts w:hint="eastAsia"/>
                <w:sz w:val="24"/>
              </w:rPr>
              <w:t>202</w:t>
            </w:r>
            <w:r>
              <w:rPr>
                <w:rFonts w:hint="eastAsia"/>
                <w:sz w:val="24"/>
                <w:lang w:val="en-US" w:eastAsia="zh-CN"/>
              </w:rPr>
              <w:t>5</w:t>
            </w:r>
            <w:r>
              <w:rPr>
                <w:rFonts w:hint="eastAsia"/>
                <w:sz w:val="24"/>
              </w:rPr>
              <w:t>.</w:t>
            </w:r>
            <w:r>
              <w:rPr>
                <w:rFonts w:hint="eastAsia"/>
                <w:sz w:val="24"/>
                <w:lang w:val="en-US" w:eastAsia="zh-CN"/>
              </w:rPr>
              <w:t>10</w:t>
            </w:r>
            <w:r>
              <w:rPr>
                <w:rFonts w:hint="eastAsia"/>
                <w:sz w:val="24"/>
              </w:rPr>
              <w:t>.</w:t>
            </w:r>
            <w:r>
              <w:rPr>
                <w:rFonts w:hint="eastAsia"/>
                <w:sz w:val="24"/>
                <w:lang w:val="en-US" w:eastAsia="zh-CN"/>
              </w:rPr>
              <w:t>17</w:t>
            </w:r>
          </w:p>
        </w:tc>
      </w:tr>
      <w:tr w14:paraId="3F1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73143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25FE7179">
            <w:pPr>
              <w:widowControl/>
              <w:spacing w:after="150"/>
              <w:jc w:val="center"/>
              <w:rPr>
                <w:rFonts w:hint="default" w:ascii="Times New Roman" w:hAnsi="Times New Roman" w:eastAsia="宋体"/>
                <w:color w:val="FF0000"/>
                <w:sz w:val="24"/>
                <w:lang w:val="en-US" w:eastAsia="zh-CN"/>
              </w:rPr>
            </w:pPr>
            <w:r>
              <w:rPr>
                <w:rFonts w:hint="eastAsia" w:ascii="宋体" w:hAnsi="宋体" w:cs="宋体"/>
                <w:sz w:val="24"/>
              </w:rPr>
              <w:t>/</w:t>
            </w:r>
          </w:p>
        </w:tc>
      </w:tr>
      <w:tr w14:paraId="6799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2373A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21683E54">
            <w:pPr>
              <w:rPr>
                <w:rFonts w:hint="eastAsia"/>
              </w:rPr>
            </w:pPr>
            <w:r>
              <w:rPr>
                <w:rFonts w:hint="eastAsia"/>
              </w:rPr>
              <w:t xml:space="preserve">江西和凡环保科技有限公司成立于2023年10月25日，住所为江西省上饶市铅山县工业园区外环路88号（工业园区马鞍山项目区办公楼），注册资金8900万元整，法定代表人陆张平，经营范围许可项目：危险废物经营（依法须经批准的项目，经相关部门批准后在许可有效期内方可开展经营活动，具体经营项目和许可期限以相关部门批准文件或许可证件为准） 一般项目：新材料技术研发，新材料技术推广服务，技术服务、技术开发、技术咨询、技术交流、技术转让、技术推广，固体废物治理，再生资源回收（除生产性废旧金属），再生资源加工，再生资源销售，生产性废旧金属回收，金属废料和碎屑加工处理，贵金属冶炼，常用有色金属冶炼，有色金属压延加工，金属材料制造，金属材料销售，化工产品生产（不含许可类化工产品），化工产品销售（不含许可类化工产品），普通货物仓储服务（不含危险化学品等需许可审批的项目），货物进出口，技术进出口（除依法须经批准的项目外，凭营业执照依法自主开展经营活动） </w:t>
            </w:r>
          </w:p>
          <w:p w14:paraId="55E7B7CB">
            <w:pPr>
              <w:rPr>
                <w:rFonts w:hint="eastAsia"/>
              </w:rPr>
            </w:pPr>
            <w:r>
              <w:rPr>
                <w:rFonts w:hint="eastAsia"/>
              </w:rPr>
              <w:t>江西和凡环保科技有限公司年产20万吨再生电解铜项目经铅山县工业园区管理委员会审查，于2023年11月7日取得《江西省企业投资项目备案通知书》，统一项目代码：2211-361124-04-01-596444。项目分二期建设，本期工程为一期，一期可形成年产12万吨再生电解铜的生产能力，拟在上饶铅山县工业园区，位于园区内工业十五路南侧、工业九路西侧、工业十七路北侧、工业八路东侧，厂区中心地理坐标为东经117°41′8.733″，北纬28°17′27.316″，新建2个阳极炉车间、电解车间、净液工段、精炼渣处理、35KV总降压站及其配套公辅工程，购置阳极炉、双圆盘浇铸机、电解槽、冷冻结晶槽、富氧炉、吸附制氧、锅炉等主要生产设备，一期可形成年产12万吨再生电解铜的生产能力。</w:t>
            </w:r>
          </w:p>
        </w:tc>
      </w:tr>
      <w:tr w14:paraId="7BB0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C26B5DC">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31527223">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一、阳极精炼及浇铸，主要工艺流程为：</w:t>
            </w:r>
          </w:p>
          <w:p w14:paraId="69C7F85D">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进厂废杂铜、铜锭首先经分拣、打包，用叉车运送至阳极炉操作平台，再通过加料机将铜料加入炉内。整个精炼过程由加料熔化、氧化、还原、浇铸四个阶段组成。</w:t>
            </w:r>
          </w:p>
          <w:p w14:paraId="3F985E44">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加料熔化期时，将经打包后的废杂铜、铜锭分批加入炉内，采用轻质燃油为燃料，配置纯氧烧嘴。加料及熔化时间总共约12h。待熔化结束进入氧化期，采用人工插管向铜液鼓入压缩空气，并加入石英熔剂造渣，并以人工扒渣方式排出精炼炉渣，部分杂质挥发进入烟气。还原剂采用煤粉颗粒，还原后的铜液经圆盘浇铸机浇铸成阳极板。合格阳极板由叉车运往阳极板堆场，不合格阳极板返回阳极炉。</w:t>
            </w:r>
          </w:p>
          <w:p w14:paraId="1A4CFC40">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二、电解工艺流程</w:t>
            </w:r>
          </w:p>
          <w:p w14:paraId="098A9E50">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由熔炼车间产出的合格的阳极板经阳极加工机组处理后，由专用行车整槽吊至种板槽内作阳极，种板槽阴极为钛种板，在电流密度220A/m2的条件下，经22小时电解后将阴极吊出人工剥离出铜片，剥离下的铜片小部分送吊耳切割机加工成吊耳，大部分送始极片加工机组经压纹、穿棒、钉耳成始极片并按极距100mm均匀排列后待用。阳极经6天电解后吊至生产槽中继续使用。</w:t>
            </w:r>
          </w:p>
          <w:p w14:paraId="0528294D">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经处理后阳极板和始极片分别吊入生产槽中，阳极周期24天，阴极周期8天。经过一个阴极周期，阴极由专用行车吊运至阴极铜洗涤机组上洗涤、抽棒、堆垛、称量、打包后送阴极铜仓库堆存；经过一个阳极周期，残阳极由专用行车吊运至残极洗涤机组上洗涤、堆垛后送至火法精炼工段。</w:t>
            </w:r>
          </w:p>
          <w:p w14:paraId="040160B0">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电解液按35L/min槽的循环速度，由循环槽经电解液循环泵泵送至板式换热器，加热到65℃左右后进入高位槽，再经分液包自流至各个电解槽。种板循环系统与生产循环系统共用1套电解液循环系统，每天抽取一定量的电解液经压滤机过滤后，返回循环系统。</w:t>
            </w:r>
          </w:p>
          <w:p w14:paraId="7CCA5C1C">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出装槽时，上清液流入上清液贮槽，全部经压滤机过滤后返回循环槽再泵至电解槽中。阳极泥经溜管排放至阳极泥地坑，由地坑泵输送至阳极泥压滤机过滤后，滤液流入上清液贮槽与上清液一同过滤后返回循环系统，压滤后的阳极泥滤饼装箱后堆存外售。</w:t>
            </w:r>
          </w:p>
          <w:p w14:paraId="2C470ADA">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三、电解液净化工艺</w:t>
            </w:r>
          </w:p>
          <w:p w14:paraId="6FD9BA0F">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净液工艺流程为真空蒸发浓缩+水冷结晶生产粗硫酸铜（补铜工序）→循环法脱铜及除杂→冷冻结晶生产粗硫酸镍。</w:t>
            </w:r>
          </w:p>
          <w:p w14:paraId="57C0FA0E">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电解车间需净化的电解液泵送至净液车间的废电解液槽，然后泵至真空蒸发高位槽，电解液由高位槽连续自流至真空蒸发器组进行蒸发浓缩。蒸发后液泵送至水冷结晶槽，结晶浆液经带式真空过滤机固液分离后，滤液流入硫酸铜滤液槽，分离出的粗硫酸铜全部重溶后返回电解车间，补充电解系统的铜离子浓度。</w:t>
            </w:r>
          </w:p>
          <w:p w14:paraId="692CEF9F">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硫酸铜结晶母液与留存的二次脱铜终液按一定比例在二次脱铜前液槽中调配，使溶液中Cu2+离子溶度&lt;7g/L，再泵送至各二次脱铜电解槽。二次脱铜电解槽共计4组，每组15槽。二次脱铜电解槽的阴极每3天清槽一次，12天更换阴极一次，人工清理表面沉积的黑铜粉，清理下来的黑铜粉返熔炼车间处理。出槽时上清液排至二次脱铜上清液贮槽，泵送至上清液压滤机，滤液返回二次脱铜电解槽。黑铜泥排至黑铜泥地坑，由地坑泵送至黑铜泥压滤机进行过滤，滤液随过滤后的上清液一起返回二次脱铜电解槽，分离出的黑铜粉返熔炼车间处理。脱铜电积反应过程产生的酸雾、砷化氢等有害气体由槽面通风罩收集后，送至酸雾净化装置处理后达标排放。</w:t>
            </w:r>
          </w:p>
          <w:p w14:paraId="759FCC79">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部分脱铜终液送至脱镍前液槽，经预冷板式换热器冷却降温后进入硫酸镍冷冻结晶槽。根据硫酸镍在不同温度下的溶解饱和度差异，脱铜终液在冷冻结晶槽内降温后粗硫酸镍析出，当溶液达到结晶温度终点-20℃时，用泵将结晶浆液送至硫酸镍压滤机进行过滤，滤液可作为预冷板式换热器冷煤，亦可直接加热后返回电解车间重复利用，滤渣即为粗硫酸镍，称重打包后外售。</w:t>
            </w:r>
          </w:p>
          <w:p w14:paraId="69804D81">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四、精炼渣处理工艺</w:t>
            </w:r>
          </w:p>
          <w:p w14:paraId="312C1705">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根据物料配比，分别将阳极精炼渣、石英石及炭精由吊车将配比好的物料分批分层加入到富氧熔炼炉中，物料分层顺序为炭精、熔剂、阳极精炼渣。</w:t>
            </w:r>
          </w:p>
          <w:p w14:paraId="2EE03A57">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富氧熔炼炉进行鼓风作业（需加氧气），产生的熔体在炉膛内分层，一段时间后进行 排铜排渣作业，炉渣由排渣口排入渣盘中，待冷却破碎后外售处理。产出的黑铜经溜槽流入铜模中浇铸成黑铜阳极板，冷却后取出外售。</w:t>
            </w:r>
          </w:p>
          <w:p w14:paraId="272FDB14">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五、制氧站工艺</w:t>
            </w:r>
          </w:p>
          <w:p w14:paraId="03CDE44B">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本项目采用VPSA制氧工艺。在一个周期内，每台吸附塔都经历吸附、顺向放压、真空解吸、真空清洗、均压等五个步骤，在同一时刻两台吸附塔分别处于不同的操作阶段。过程如下：</w:t>
            </w:r>
          </w:p>
          <w:p w14:paraId="37C75BB3">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A、原料空气经过滤消音器除去机械杂质，经鼓风机增压至约35～45KPa后从下部进入吸附塔a，空气中的水分和二氧化碳优先被吸附，然后氮气也被吸附，氧气则吸附很少，在气相中得到富集，并从吸附塔顶端排出，使氧气和氮气分离获得高纯度的氧气。此步骤称为“吸附”。获得的氧气一部分作为产品气，经压力调节后送往下游装置，一部分作为b吸附塔充压用气。</w:t>
            </w:r>
          </w:p>
          <w:p w14:paraId="6E770C6D">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B、当吸附剂吸附氮气接近饱和时，停止向吸附塔a进空气并停止产氧，开始“顺向放压”。“顺向放压”流出气进入已完成“真空清洗”的吸附塔b，对其进行升压。此步骤还可回收“顺向放压”流出气中的氧气，使装置的氧气收率提高。</w:t>
            </w:r>
          </w:p>
          <w:p w14:paraId="29FCFF24">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C、吸附塔a“顺向放压”步骤结束后，用真空泵对吸附塔抽真空，解吸吸附剂上吸附的氮气，使吸附剂得到再生。此步骤称为“真空解吸”。</w:t>
            </w:r>
          </w:p>
          <w:p w14:paraId="75687D3D">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D、在对吸附塔a抽真空的同时用部分产品氧气对其进行清洗，置换吸附剂上吸附的氮气，使氮气的解吸更为彻底。此步骤称为“真空清洗”。</w:t>
            </w:r>
          </w:p>
          <w:p w14:paraId="5F32E5CC">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E、“真空清洗”结束后，吸附塔a仍处于真空状态，用b塔的“顺向放压”流出气进行升压，并回收其中的氧气，提高装置氧收率。此步骤称为“均压”。</w:t>
            </w:r>
          </w:p>
          <w:p w14:paraId="0AF45B96">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F、“均压”步骤完成后，引入产品氧气对吸附塔升压，同时从进气端引入空气，重新开始吸附，进入下一个循环。</w:t>
            </w:r>
          </w:p>
          <w:p w14:paraId="40AF4262">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两台吸附塔都不断重复以上步骤，周期性切换，使设备能够平稳、连续地产氧。</w:t>
            </w:r>
          </w:p>
          <w:p w14:paraId="58DACF9E">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吸附塔各步骤的切换是靠气动蝶阀的开或关来实现的，由计算机控制。将事先定好的切换时间编好程序输入PLC ，PLC输出电信号控制换向电磁阀，电磁阀则与仪表空气和气动蝶阀执行机构的气路连通，通过电磁阀换向，由压缩空气推动气动蝶阀的气缸，使气动蝶阀开或关，实现各步骤的切换。</w:t>
            </w:r>
          </w:p>
          <w:p w14:paraId="7A70AF3A">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经过以上过程，即可实现空气的氧氮分离，制得符合要求的合格产品氧气。</w:t>
            </w:r>
          </w:p>
          <w:p w14:paraId="12D1D1BF">
            <w:pPr>
              <w:pStyle w:val="16"/>
              <w:spacing w:before="0" w:beforeAutospacing="0" w:after="0" w:afterAutospacing="0"/>
              <w:rPr>
                <w:rFonts w:ascii="宋体" w:hAnsi="宋体" w:cs="宋体"/>
                <w:snapToGrid w:val="0"/>
                <w:kern w:val="0"/>
                <w:szCs w:val="21"/>
              </w:rPr>
            </w:pPr>
            <w:r>
              <w:rPr>
                <w:rFonts w:hint="eastAsia" w:ascii="宋体" w:hAnsi="宋体" w:cs="宋体"/>
                <w:snapToGrid w:val="0"/>
                <w:kern w:val="0"/>
                <w:szCs w:val="21"/>
              </w:rPr>
              <w:t>制氧设备获得的产品氧气进入氧气缓冲罐，经过中压氧气压缩机压缩储存后送至阳极炉使用。</w:t>
            </w:r>
          </w:p>
        </w:tc>
      </w:tr>
      <w:tr w14:paraId="00B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1C049D4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B514EA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37F63244">
      <w:r>
        <w:rPr>
          <w:rFonts w:hint="eastAsia"/>
        </w:rPr>
        <w:br w:type="page"/>
      </w:r>
    </w:p>
    <w:p w14:paraId="5E07ABB9">
      <w:pPr>
        <w:rPr>
          <w:rFonts w:hint="eastAsia" w:eastAsia="宋体"/>
          <w:lang w:eastAsia="zh-CN"/>
        </w:rPr>
      </w:pPr>
    </w:p>
    <w:p w14:paraId="0E5298BF"/>
    <w:p w14:paraId="4223652F"/>
    <w:p w14:paraId="2A512B2C"/>
    <w:p w14:paraId="550F72D5">
      <w:pPr>
        <w:rPr>
          <w:rFonts w:hint="eastAsia" w:eastAsia="宋体"/>
          <w:lang w:eastAsia="zh-CN"/>
        </w:rPr>
      </w:pPr>
      <w:r>
        <w:rPr>
          <w:rFonts w:hint="eastAsia" w:eastAsia="宋体"/>
          <w:lang w:eastAsia="zh-CN"/>
        </w:rPr>
        <w:drawing>
          <wp:inline distT="0" distB="0" distL="114300" distR="114300">
            <wp:extent cx="5253990" cy="3940175"/>
            <wp:effectExtent l="0" t="0" r="3810" b="317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p>
    <w:p w14:paraId="44D6F4B2">
      <w:r>
        <w:rPr>
          <w:rFonts w:hint="eastAsia" w:eastAsia="宋体"/>
          <w:lang w:eastAsia="zh-CN"/>
        </w:rPr>
        <w:drawing>
          <wp:anchor distT="0" distB="0" distL="114300" distR="114300" simplePos="0" relativeHeight="251659264" behindDoc="0" locked="0" layoutInCell="1" allowOverlap="1">
            <wp:simplePos x="0" y="0"/>
            <wp:positionH relativeFrom="column">
              <wp:posOffset>-21590</wp:posOffset>
            </wp:positionH>
            <wp:positionV relativeFrom="paragraph">
              <wp:posOffset>121285</wp:posOffset>
            </wp:positionV>
            <wp:extent cx="5253990" cy="3940175"/>
            <wp:effectExtent l="0" t="0" r="3810" b="3175"/>
            <wp:wrapNone/>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5"/>
                    <a:stretch>
                      <a:fillRect/>
                    </a:stretch>
                  </pic:blipFill>
                  <pic:spPr>
                    <a:xfrm>
                      <a:off x="0" y="0"/>
                      <a:ext cx="5253990" cy="3940175"/>
                    </a:xfrm>
                    <a:prstGeom prst="rect">
                      <a:avLst/>
                    </a:prstGeom>
                  </pic:spPr>
                </pic:pic>
              </a:graphicData>
            </a:graphic>
          </wp:anchor>
        </w:drawing>
      </w:r>
    </w:p>
    <w:p w14:paraId="7D6C13BF">
      <w:bookmarkStart w:id="0" w:name="_GoBack"/>
      <w:bookmarkEnd w:id="0"/>
    </w:p>
    <w:p w14:paraId="22AF1EED">
      <w:r>
        <w:rPr>
          <w:rFonts w:hint="eastAsia" w:eastAsia="宋体"/>
          <w:lang w:eastAsia="zh-CN"/>
        </w:rPr>
        <w:drawing>
          <wp:inline distT="0" distB="0" distL="114300" distR="114300">
            <wp:extent cx="5259070" cy="7443470"/>
            <wp:effectExtent l="0" t="0" r="17780" b="5080"/>
            <wp:docPr id="3" name="图片 3" descr="DOC041426-041420260300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41426-04142026030041_01"/>
                    <pic:cNvPicPr>
                      <a:picLocks noChangeAspect="1"/>
                    </pic:cNvPicPr>
                  </pic:nvPicPr>
                  <pic:blipFill>
                    <a:blip r:embed="rId6"/>
                    <a:stretch>
                      <a:fillRect/>
                    </a:stretch>
                  </pic:blipFill>
                  <pic:spPr>
                    <a:xfrm>
                      <a:off x="0" y="0"/>
                      <a:ext cx="5259070" cy="7443470"/>
                    </a:xfrm>
                    <a:prstGeom prst="rect">
                      <a:avLst/>
                    </a:prstGeom>
                  </pic:spPr>
                </pic:pic>
              </a:graphicData>
            </a:graphic>
          </wp:inline>
        </w:drawing>
      </w:r>
    </w:p>
    <w:p w14:paraId="3601A34F"/>
    <w:p w14:paraId="795F8353">
      <w:pPr>
        <w:rPr>
          <w:rFonts w:hint="eastAsia" w:eastAsia="宋体"/>
          <w:lang w:eastAsia="zh-CN"/>
        </w:rPr>
      </w:pPr>
    </w:p>
    <w:p w14:paraId="6004ECD9"/>
    <w:p w14:paraId="4521D7C1"/>
    <w:p w14:paraId="1FF13339">
      <w:pPr>
        <w:jc w:val="both"/>
      </w:pPr>
    </w:p>
    <w:p w14:paraId="32057267">
      <w:pPr>
        <w:jc w:val="both"/>
        <w:rPr>
          <w:rFonts w:hint="eastAsia" w:eastAsia="宋体"/>
          <w:lang w:eastAsia="zh-CN"/>
        </w:rPr>
      </w:pPr>
    </w:p>
    <w:p w14:paraId="71131254">
      <w:pPr>
        <w:jc w:val="both"/>
      </w:pPr>
    </w:p>
    <w:p w14:paraId="50678230">
      <w:pPr>
        <w:jc w:val="both"/>
      </w:pPr>
    </w:p>
    <w:p w14:paraId="00CEC2E3">
      <w:pPr>
        <w:jc w:val="both"/>
        <w:rPr>
          <w:rFonts w:hint="eastAsia" w:eastAsia="宋体"/>
          <w:lang w:eastAsia="zh-CN"/>
        </w:rPr>
      </w:pPr>
      <w:r>
        <w:rPr>
          <w:rFonts w:hint="eastAsia" w:eastAsia="宋体"/>
          <w:lang w:eastAsia="zh-CN"/>
        </w:rPr>
        <w:drawing>
          <wp:inline distT="0" distB="0" distL="114300" distR="114300">
            <wp:extent cx="5259070" cy="7443470"/>
            <wp:effectExtent l="0" t="0" r="17780" b="5080"/>
            <wp:docPr id="4" name="图片 4" descr="DOC041426-0414202603002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41426-04142026030028_02"/>
                    <pic:cNvPicPr>
                      <a:picLocks noChangeAspect="1"/>
                    </pic:cNvPicPr>
                  </pic:nvPicPr>
                  <pic:blipFill>
                    <a:blip r:embed="rId7"/>
                    <a:stretch>
                      <a:fillRect/>
                    </a:stretch>
                  </pic:blipFill>
                  <pic:spPr>
                    <a:xfrm>
                      <a:off x="0" y="0"/>
                      <a:ext cx="5259070" cy="7443470"/>
                    </a:xfrm>
                    <a:prstGeom prst="rect">
                      <a:avLst/>
                    </a:prstGeom>
                  </pic:spPr>
                </pic:pic>
              </a:graphicData>
            </a:graphic>
          </wp:inline>
        </w:drawing>
      </w:r>
      <w:r>
        <w:rPr>
          <w:rFonts w:hint="eastAsia" w:eastAsia="宋体"/>
          <w:lang w:eastAsia="zh-CN"/>
        </w:rPr>
        <w:drawing>
          <wp:inline distT="0" distB="0" distL="114300" distR="114300">
            <wp:extent cx="5259070" cy="7443470"/>
            <wp:effectExtent l="0" t="0" r="17780" b="5080"/>
            <wp:docPr id="5" name="图片 5" descr="DOC041426-0414202603002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41426-04142026030028_01"/>
                    <pic:cNvPicPr>
                      <a:picLocks noChangeAspect="1"/>
                    </pic:cNvPicPr>
                  </pic:nvPicPr>
                  <pic:blipFill>
                    <a:blip r:embed="rId8"/>
                    <a:stretch>
                      <a:fillRect/>
                    </a:stretch>
                  </pic:blipFill>
                  <pic:spPr>
                    <a:xfrm>
                      <a:off x="0" y="0"/>
                      <a:ext cx="5259070" cy="7443470"/>
                    </a:xfrm>
                    <a:prstGeom prst="rect">
                      <a:avLst/>
                    </a:prstGeom>
                  </pic:spPr>
                </pic:pic>
              </a:graphicData>
            </a:graphic>
          </wp:inline>
        </w:drawing>
      </w:r>
    </w:p>
    <w:p w14:paraId="1DD3FCE3">
      <w:pPr>
        <w:jc w:val="both"/>
      </w:pPr>
    </w:p>
    <w:p w14:paraId="2B59A32B">
      <w:pPr>
        <w:jc w:val="both"/>
      </w:pPr>
    </w:p>
    <w:p w14:paraId="256DE4E7">
      <w:pPr>
        <w:jc w:val="both"/>
      </w:pPr>
    </w:p>
    <w:p w14:paraId="5A2C25E3">
      <w:pPr>
        <w:jc w:val="both"/>
      </w:pPr>
    </w:p>
    <w:p w14:paraId="533D82FB">
      <w:pPr>
        <w:jc w:val="both"/>
      </w:pPr>
    </w:p>
    <w:p w14:paraId="44535C2E">
      <w:pPr>
        <w:jc w:val="both"/>
        <w:rPr>
          <w:rFonts w:hint="eastAsia" w:eastAsia="宋体"/>
          <w:lang w:eastAsia="zh-CN"/>
        </w:rPr>
      </w:pPr>
      <w:r>
        <w:rPr>
          <w:rFonts w:hint="eastAsia" w:eastAsia="宋体"/>
          <w:lang w:eastAsia="zh-CN"/>
        </w:rPr>
        <w:drawing>
          <wp:inline distT="0" distB="0" distL="114300" distR="114300">
            <wp:extent cx="5259070" cy="7442835"/>
            <wp:effectExtent l="0" t="0" r="17780" b="5715"/>
            <wp:docPr id="6" name="图片 6" descr="6、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合同_01"/>
                    <pic:cNvPicPr>
                      <a:picLocks noChangeAspect="1"/>
                    </pic:cNvPicPr>
                  </pic:nvPicPr>
                  <pic:blipFill>
                    <a:blip r:embed="rId9"/>
                    <a:stretch>
                      <a:fillRect/>
                    </a:stretch>
                  </pic:blipFill>
                  <pic:spPr>
                    <a:xfrm>
                      <a:off x="0" y="0"/>
                      <a:ext cx="5259070" cy="7442835"/>
                    </a:xfrm>
                    <a:prstGeom prst="rect">
                      <a:avLst/>
                    </a:prstGeom>
                  </pic:spPr>
                </pic:pic>
              </a:graphicData>
            </a:graphic>
          </wp:inline>
        </w:drawing>
      </w:r>
    </w:p>
    <w:p w14:paraId="519CA0EC">
      <w:pPr>
        <w:rPr>
          <w:rFonts w:hint="eastAsia"/>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6A2DE9"/>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BF33AE"/>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C524B76"/>
    <w:rsid w:val="0D0227BA"/>
    <w:rsid w:val="0D073DB5"/>
    <w:rsid w:val="0D081033"/>
    <w:rsid w:val="0D1C170F"/>
    <w:rsid w:val="0D4252AC"/>
    <w:rsid w:val="0E564C35"/>
    <w:rsid w:val="0E6C66FC"/>
    <w:rsid w:val="0EC817E1"/>
    <w:rsid w:val="0F1C6141"/>
    <w:rsid w:val="0F423341"/>
    <w:rsid w:val="0FD536AF"/>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5FA4976"/>
    <w:rsid w:val="16B10157"/>
    <w:rsid w:val="172B1294"/>
    <w:rsid w:val="17505468"/>
    <w:rsid w:val="1752433D"/>
    <w:rsid w:val="17550DB0"/>
    <w:rsid w:val="17583261"/>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6E6E31"/>
    <w:rsid w:val="1C970306"/>
    <w:rsid w:val="1CD13F56"/>
    <w:rsid w:val="1CD14F1F"/>
    <w:rsid w:val="1CEA3399"/>
    <w:rsid w:val="1DA60EEB"/>
    <w:rsid w:val="1F0F5E71"/>
    <w:rsid w:val="1F142A61"/>
    <w:rsid w:val="1F373426"/>
    <w:rsid w:val="1F642D26"/>
    <w:rsid w:val="1FAC2BD1"/>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317C88"/>
    <w:rsid w:val="25FB3FD9"/>
    <w:rsid w:val="260B2287"/>
    <w:rsid w:val="26134134"/>
    <w:rsid w:val="271635D9"/>
    <w:rsid w:val="27280E94"/>
    <w:rsid w:val="27F61196"/>
    <w:rsid w:val="28814447"/>
    <w:rsid w:val="29283150"/>
    <w:rsid w:val="297A3C20"/>
    <w:rsid w:val="298C1931"/>
    <w:rsid w:val="29925FE1"/>
    <w:rsid w:val="29C5213A"/>
    <w:rsid w:val="29C972C6"/>
    <w:rsid w:val="2B944ACD"/>
    <w:rsid w:val="2BD9110B"/>
    <w:rsid w:val="2C9D3BC7"/>
    <w:rsid w:val="2CED3F48"/>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211925"/>
    <w:rsid w:val="35524794"/>
    <w:rsid w:val="36577381"/>
    <w:rsid w:val="366115C7"/>
    <w:rsid w:val="368F242B"/>
    <w:rsid w:val="36E75766"/>
    <w:rsid w:val="37285AB1"/>
    <w:rsid w:val="375C6F30"/>
    <w:rsid w:val="3781684D"/>
    <w:rsid w:val="38213B8C"/>
    <w:rsid w:val="3823766B"/>
    <w:rsid w:val="396748BA"/>
    <w:rsid w:val="39AC13AD"/>
    <w:rsid w:val="3A3146AF"/>
    <w:rsid w:val="3A751F6D"/>
    <w:rsid w:val="3AB6680E"/>
    <w:rsid w:val="3AD61658"/>
    <w:rsid w:val="3ADD7367"/>
    <w:rsid w:val="3AF50232"/>
    <w:rsid w:val="3B251FB8"/>
    <w:rsid w:val="3B3712DA"/>
    <w:rsid w:val="3B516ED3"/>
    <w:rsid w:val="3B622014"/>
    <w:rsid w:val="3BB54D17"/>
    <w:rsid w:val="3BFC6477"/>
    <w:rsid w:val="3C7D28D5"/>
    <w:rsid w:val="3C9506A5"/>
    <w:rsid w:val="3CE43836"/>
    <w:rsid w:val="3D027FC2"/>
    <w:rsid w:val="3D3D4FC4"/>
    <w:rsid w:val="3D4729D1"/>
    <w:rsid w:val="3D6C58AA"/>
    <w:rsid w:val="3DEB4A20"/>
    <w:rsid w:val="3E2D53F7"/>
    <w:rsid w:val="3EB62D94"/>
    <w:rsid w:val="3EEC7F81"/>
    <w:rsid w:val="3F0E1560"/>
    <w:rsid w:val="3FA71C20"/>
    <w:rsid w:val="3FDA2F9E"/>
    <w:rsid w:val="40606FB3"/>
    <w:rsid w:val="408A0869"/>
    <w:rsid w:val="40995D81"/>
    <w:rsid w:val="40DC28F6"/>
    <w:rsid w:val="416C231C"/>
    <w:rsid w:val="41B906C9"/>
    <w:rsid w:val="41C01725"/>
    <w:rsid w:val="41C84509"/>
    <w:rsid w:val="421E5E45"/>
    <w:rsid w:val="42305ED2"/>
    <w:rsid w:val="42355182"/>
    <w:rsid w:val="42B172BD"/>
    <w:rsid w:val="43120BD6"/>
    <w:rsid w:val="433755FF"/>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4831FA"/>
    <w:rsid w:val="4A657908"/>
    <w:rsid w:val="4ACC5BD9"/>
    <w:rsid w:val="4BE40D01"/>
    <w:rsid w:val="4CDE060B"/>
    <w:rsid w:val="4E08517B"/>
    <w:rsid w:val="4E2E60EA"/>
    <w:rsid w:val="4E3D5914"/>
    <w:rsid w:val="4E461B89"/>
    <w:rsid w:val="4E834801"/>
    <w:rsid w:val="4E915170"/>
    <w:rsid w:val="4F4C1097"/>
    <w:rsid w:val="4F844CD5"/>
    <w:rsid w:val="4FB01626"/>
    <w:rsid w:val="4FF32FA8"/>
    <w:rsid w:val="50EA0B03"/>
    <w:rsid w:val="512A57AB"/>
    <w:rsid w:val="515A3854"/>
    <w:rsid w:val="5276471A"/>
    <w:rsid w:val="52B20F97"/>
    <w:rsid w:val="52CC47C0"/>
    <w:rsid w:val="52E07D49"/>
    <w:rsid w:val="5374510A"/>
    <w:rsid w:val="53F5005F"/>
    <w:rsid w:val="550C37A2"/>
    <w:rsid w:val="55990DAE"/>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096502"/>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9E5C56"/>
    <w:rsid w:val="62A05F08"/>
    <w:rsid w:val="62EA5BC6"/>
    <w:rsid w:val="630737FB"/>
    <w:rsid w:val="63C25DAA"/>
    <w:rsid w:val="64126CC6"/>
    <w:rsid w:val="64721148"/>
    <w:rsid w:val="648F0582"/>
    <w:rsid w:val="64F540D9"/>
    <w:rsid w:val="6559245A"/>
    <w:rsid w:val="65622F6B"/>
    <w:rsid w:val="658C415A"/>
    <w:rsid w:val="65BD6D5B"/>
    <w:rsid w:val="66C53C4A"/>
    <w:rsid w:val="673B297E"/>
    <w:rsid w:val="678F323C"/>
    <w:rsid w:val="67F105D6"/>
    <w:rsid w:val="67FD6F7B"/>
    <w:rsid w:val="68233EA0"/>
    <w:rsid w:val="68A30209"/>
    <w:rsid w:val="68C86C57"/>
    <w:rsid w:val="69C2222A"/>
    <w:rsid w:val="6AA57F27"/>
    <w:rsid w:val="6B3B1735"/>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2EE6"/>
    <w:rsid w:val="7207397B"/>
    <w:rsid w:val="72600B3B"/>
    <w:rsid w:val="729E3A33"/>
    <w:rsid w:val="72C43B37"/>
    <w:rsid w:val="73670AB5"/>
    <w:rsid w:val="737D1DEA"/>
    <w:rsid w:val="748B2EA1"/>
    <w:rsid w:val="74A470FC"/>
    <w:rsid w:val="74AE0F56"/>
    <w:rsid w:val="755328D0"/>
    <w:rsid w:val="76391AC6"/>
    <w:rsid w:val="7672193D"/>
    <w:rsid w:val="770403EE"/>
    <w:rsid w:val="771C50B0"/>
    <w:rsid w:val="771E190D"/>
    <w:rsid w:val="77832F9B"/>
    <w:rsid w:val="77C519A6"/>
    <w:rsid w:val="78063C29"/>
    <w:rsid w:val="784004D1"/>
    <w:rsid w:val="784D1858"/>
    <w:rsid w:val="78725E9B"/>
    <w:rsid w:val="78760DAF"/>
    <w:rsid w:val="7877129B"/>
    <w:rsid w:val="787B0173"/>
    <w:rsid w:val="79302291"/>
    <w:rsid w:val="797D7F1B"/>
    <w:rsid w:val="79F44E86"/>
    <w:rsid w:val="79FE7AE0"/>
    <w:rsid w:val="7A083C89"/>
    <w:rsid w:val="7AA15E8B"/>
    <w:rsid w:val="7B1A51D8"/>
    <w:rsid w:val="7B424553"/>
    <w:rsid w:val="7BB96559"/>
    <w:rsid w:val="7BF25D18"/>
    <w:rsid w:val="7C304A31"/>
    <w:rsid w:val="7C6520EB"/>
    <w:rsid w:val="7C85225C"/>
    <w:rsid w:val="7CE56503"/>
    <w:rsid w:val="7D1943FF"/>
    <w:rsid w:val="7D7347EF"/>
    <w:rsid w:val="7D9B14E2"/>
    <w:rsid w:val="7DB761A8"/>
    <w:rsid w:val="7DD52B5A"/>
    <w:rsid w:val="7E522673"/>
    <w:rsid w:val="7E81400A"/>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Indent"/>
    <w:basedOn w:val="1"/>
    <w:next w:val="9"/>
    <w:unhideWhenUsed/>
    <w:qFormat/>
    <w:uiPriority w:val="99"/>
    <w:pPr>
      <w:spacing w:after="120"/>
      <w:ind w:left="420" w:leftChars="200"/>
    </w:pPr>
  </w:style>
  <w:style w:type="paragraph" w:styleId="9">
    <w:name w:val="Body Text First Indent 2"/>
    <w:basedOn w:val="8"/>
    <w:next w:val="2"/>
    <w:unhideWhenUsed/>
    <w:qFormat/>
    <w:uiPriority w:val="99"/>
    <w:pPr>
      <w:ind w:firstLine="420" w:firstLine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2"/>
    <w:next w:val="1"/>
    <w:qFormat/>
    <w:uiPriority w:val="0"/>
    <w:pPr>
      <w:spacing w:after="120"/>
      <w:ind w:firstLine="420" w:firstLineChars="100"/>
    </w:pPr>
  </w:style>
  <w:style w:type="paragraph" w:customStyle="1" w:styleId="24">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3"/>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3290</Words>
  <Characters>3518</Characters>
  <Lines>8</Lines>
  <Paragraphs>2</Paragraphs>
  <TotalTime>0</TotalTime>
  <ScaleCrop>false</ScaleCrop>
  <LinksUpToDate>false</LinksUpToDate>
  <CharactersWithSpaces>3522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2026-04-15T01:52:37Z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BF701FB91A744B049CE4F80DAFD00276_13</vt:lpwstr>
  </property>
  <property fmtid="{D5CDD505-2E9C-101B-9397-08002B2CF9AE}" pid="4" name="KSOTemplateDocerSaveRecord">
    <vt:lpwstr>eyJoZGlkIjoiNDgzMjdiZTZhYWEwMDUyMzMwMzdhZWM2ZmNjMGMzMDkiLCJ1c2VySWQiOiI1NzcyNjAwMzgifQ==</vt:lpwstr>
  </property>
</Properties>
</file>