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宋体" w:hAnsi="宋体" w:eastAsia="宋体" w:cs="宋体"/>
                <w:sz w:val="24"/>
                <w:lang w:eastAsia="zh-CN"/>
              </w:rPr>
              <w:t>江西核工业金品生物科技有限公司在役生产装置全流程自动化控制改造安全验收评价报告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S011035000110192001546</w:t>
            </w:r>
          </w:p>
        </w:tc>
        <w:tc>
          <w:tcPr>
            <w:tcW w:w="2115" w:type="dxa"/>
            <w:tcBorders>
              <w:tl2br w:val="nil"/>
              <w:tr2bl w:val="nil"/>
            </w:tcBorders>
            <w:shd w:val="clear" w:color="auto" w:fill="FFFFFF"/>
            <w:vAlign w:val="center"/>
          </w:tcPr>
          <w:p w14:paraId="1D907D1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舒斌</w:t>
            </w:r>
          </w:p>
        </w:tc>
        <w:tc>
          <w:tcPr>
            <w:tcW w:w="4803" w:type="dxa"/>
            <w:tcBorders>
              <w:tl2br w:val="nil"/>
              <w:tr2bl w:val="nil"/>
            </w:tcBorders>
            <w:shd w:val="clear" w:color="auto" w:fill="FFFFFF"/>
            <w:vAlign w:val="center"/>
          </w:tcPr>
          <w:p w14:paraId="2AF7BD6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0800000000205889</w:t>
            </w:r>
          </w:p>
        </w:tc>
        <w:tc>
          <w:tcPr>
            <w:tcW w:w="2115" w:type="dxa"/>
            <w:tcBorders>
              <w:tl2br w:val="nil"/>
              <w:tr2bl w:val="nil"/>
            </w:tcBorders>
            <w:shd w:val="clear" w:color="auto" w:fill="FFFFFF"/>
            <w:vAlign w:val="center"/>
          </w:tcPr>
          <w:p w14:paraId="135FF85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013031</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张晋慧</w:t>
            </w:r>
          </w:p>
        </w:tc>
        <w:tc>
          <w:tcPr>
            <w:tcW w:w="4803" w:type="dxa"/>
            <w:tcBorders>
              <w:tl2br w:val="nil"/>
              <w:tr2bl w:val="nil"/>
            </w:tcBorders>
            <w:shd w:val="clear" w:color="auto" w:fill="FFFFFF"/>
            <w:vAlign w:val="center"/>
          </w:tcPr>
          <w:p w14:paraId="5E54EC4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1100000000302946</w:t>
            </w:r>
          </w:p>
        </w:tc>
        <w:tc>
          <w:tcPr>
            <w:tcW w:w="2115" w:type="dxa"/>
            <w:tcBorders>
              <w:tl2br w:val="nil"/>
              <w:tr2bl w:val="nil"/>
            </w:tcBorders>
            <w:shd w:val="clear" w:color="auto" w:fill="FFFFFF"/>
            <w:vAlign w:val="center"/>
          </w:tcPr>
          <w:p w14:paraId="0EA3FFA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0</w:t>
            </w:r>
            <w:r>
              <w:rPr>
                <w:rFonts w:hint="eastAsia" w:ascii="Times New Roman" w:hAnsi="Times New Roman" w:eastAsia="宋体" w:cs="Times New Roman"/>
                <w:sz w:val="24"/>
                <w:lang w:val="en-US" w:eastAsia="zh-CN"/>
              </w:rPr>
              <w:t>20045</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赵云峰</w:t>
            </w:r>
          </w:p>
        </w:tc>
        <w:tc>
          <w:tcPr>
            <w:tcW w:w="4803" w:type="dxa"/>
            <w:tcBorders>
              <w:tl2br w:val="nil"/>
              <w:tr2bl w:val="nil"/>
            </w:tcBorders>
            <w:shd w:val="clear" w:color="auto" w:fill="FFFFFF"/>
            <w:vAlign w:val="center"/>
          </w:tcPr>
          <w:p w14:paraId="0E1A694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1600000000200809</w:t>
            </w:r>
          </w:p>
        </w:tc>
        <w:tc>
          <w:tcPr>
            <w:tcW w:w="2115" w:type="dxa"/>
            <w:tcBorders>
              <w:tl2br w:val="nil"/>
              <w:tr2bl w:val="nil"/>
            </w:tcBorders>
            <w:shd w:val="clear" w:color="auto" w:fill="FFFFFF"/>
            <w:vAlign w:val="center"/>
          </w:tcPr>
          <w:p w14:paraId="34039BB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030095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谢雨飞</w:t>
            </w:r>
          </w:p>
        </w:tc>
        <w:tc>
          <w:tcPr>
            <w:tcW w:w="4803" w:type="dxa"/>
            <w:tcBorders>
              <w:tl2br w:val="nil"/>
              <w:tr2bl w:val="nil"/>
            </w:tcBorders>
            <w:shd w:val="clear" w:color="auto" w:fill="FFFFFF"/>
            <w:vAlign w:val="center"/>
          </w:tcPr>
          <w:p w14:paraId="70C9750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CAWS350000230200227</w:t>
            </w:r>
          </w:p>
        </w:tc>
        <w:tc>
          <w:tcPr>
            <w:tcW w:w="2115" w:type="dxa"/>
            <w:tcBorders>
              <w:tl2br w:val="nil"/>
              <w:tr2bl w:val="nil"/>
            </w:tcBorders>
            <w:shd w:val="clear" w:color="auto" w:fill="FFFFFF"/>
            <w:vAlign w:val="center"/>
          </w:tcPr>
          <w:p w14:paraId="2C5E2BF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043378</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w:t>
            </w:r>
            <w:r>
              <w:rPr>
                <w:rFonts w:hint="eastAsia"/>
                <w:b w:val="0"/>
                <w:bCs w:val="0"/>
                <w:sz w:val="24"/>
                <w:szCs w:val="22"/>
                <w:lang w:eastAsia="zh-CN"/>
              </w:rPr>
              <w:t>2025年10月2</w:t>
            </w:r>
            <w:r>
              <w:rPr>
                <w:rFonts w:hint="eastAsia"/>
                <w:b w:val="0"/>
                <w:bCs w:val="0"/>
                <w:sz w:val="24"/>
                <w:szCs w:val="22"/>
                <w:lang w:val="en-US" w:eastAsia="zh-CN"/>
              </w:rPr>
              <w:t>8</w:t>
            </w:r>
            <w:r>
              <w:rPr>
                <w:rFonts w:hint="eastAsia"/>
                <w:b w:val="0"/>
                <w:bCs w:val="0"/>
                <w:sz w:val="24"/>
                <w:szCs w:val="22"/>
                <w:lang w:eastAsia="zh-CN"/>
              </w:rPr>
              <w:t>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谢雨飞2025年11月18日</w:t>
            </w:r>
            <w:bookmarkStart w:id="0" w:name="_GoBack"/>
            <w:bookmarkEnd w:id="0"/>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512173F">
            <w:pPr>
              <w:ind w:firstLine="548"/>
              <w:rPr>
                <w:rFonts w:hint="eastAsia" w:cs="宋体"/>
                <w:spacing w:val="-6"/>
                <w:lang w:val="en-US"/>
              </w:rPr>
            </w:pPr>
            <w:r>
              <w:rPr>
                <w:rFonts w:hint="eastAsia" w:cs="宋体"/>
                <w:spacing w:val="-6"/>
                <w:lang w:val="en-US" w:eastAsia="zh-CN"/>
              </w:rPr>
              <w:t>江西核工业金品生物科技有限公司（以下简称“公司”）成立于2009年6月2日，位于江西省吉安市峡江县工业园区城南园区（化工集中区）月华路，属有限责任公司（自然人投资或控股），法定代表人：杨志明，注册资金：1518万元。经营范围：非无菌原料药（磺胺间甲氧嘧啶、磺胺间甲氧嘧啶钠、氟苯尼考、盐酸环丙沙星、乳酸环丙沙星、恩诺沙星、盐酸多西环素、乙酰甲喹、尼卡巴嗪）；技术服务、咨询及转让；国内贸易、货物进出口；10%蚍虫啉可湿粉剂（300t/a）、4%赤霉酸乳油（300t/a）、4-苯氧基-2,6二异丙基苯硫异氰酸酯（500t/a）***</w:t>
            </w:r>
            <w:r>
              <w:rPr>
                <w:rFonts w:hint="eastAsia" w:cs="宋体"/>
                <w:spacing w:val="-6"/>
                <w:lang w:val="en-US"/>
              </w:rPr>
              <w:t>。</w:t>
            </w:r>
          </w:p>
          <w:p w14:paraId="5108F7F9">
            <w:pPr>
              <w:ind w:firstLine="548"/>
              <w:rPr>
                <w:rFonts w:hint="eastAsia" w:cs="宋体"/>
                <w:spacing w:val="-6"/>
                <w:lang w:val="en-US" w:eastAsia="zh-CN"/>
              </w:rPr>
            </w:pPr>
            <w:r>
              <w:rPr>
                <w:rFonts w:hint="eastAsia" w:cs="宋体"/>
                <w:spacing w:val="-6"/>
                <w:lang w:val="en-US" w:eastAsia="zh-CN"/>
              </w:rPr>
              <w:t>该公司于2013年6月25日取得安全生产许可证，许可证编号：(赣)WH安许证字[2013]0748号，许可范围：4-苯氧基-2,6二异丙基苯硫异氰酸酯（500t/a），有效期至2026年11月5日。</w:t>
            </w:r>
          </w:p>
          <w:p w14:paraId="7A2C2027">
            <w:pPr>
              <w:bidi w:val="0"/>
              <w:rPr>
                <w:rFonts w:hint="eastAsia"/>
                <w:lang w:eastAsia="zh-CN"/>
              </w:rPr>
            </w:pPr>
            <w:r>
              <w:rPr>
                <w:rFonts w:hint="eastAsia"/>
                <w:lang w:val="en-US" w:eastAsia="zh-CN"/>
              </w:rPr>
              <w:t>2022年6月，</w:t>
            </w:r>
            <w:r>
              <w:rPr>
                <w:rFonts w:hint="eastAsia"/>
                <w:lang w:eastAsia="zh-CN"/>
              </w:rPr>
              <w:t>江西核工业金品生物科技有限公司已委托黑龙江龙维化学品工程设计有限公司</w:t>
            </w:r>
            <w:r>
              <w:rPr>
                <w:rFonts w:hint="eastAsia"/>
                <w:lang w:val="en-US" w:eastAsia="zh-CN"/>
              </w:rPr>
              <w:t>对在役生产装置</w:t>
            </w:r>
            <w:r>
              <w:rPr>
                <w:rFonts w:hint="eastAsia"/>
                <w:lang w:eastAsia="zh-CN"/>
              </w:rPr>
              <w:t>进行全流程自动化控制诊断，并编制出具了《江西核工业金品生物科技有限公司年产500吨4-苯氧基-2,6-二异丙基苯硫代异氰酸酯技术改建项目全流程自动化控制诊断报告》（以下简称“诊断报告”）。</w:t>
            </w:r>
          </w:p>
          <w:p w14:paraId="3DD7ED7A">
            <w:pPr>
              <w:bidi w:val="0"/>
              <w:rPr>
                <w:rFonts w:hint="eastAsia"/>
                <w:lang w:eastAsia="zh-CN"/>
              </w:rPr>
            </w:pPr>
            <w:r>
              <w:rPr>
                <w:rFonts w:hint="eastAsia"/>
                <w:lang w:val="en-US" w:eastAsia="zh-CN"/>
              </w:rPr>
              <w:t>2025年4月，江西核工业金品生物科技有限公司委托山东鸿运工程设计有限公司编制了《江西核工业金品生物科技有限公司年产500吨4－苯氧基－2,6－二异丙基苯硫代异氰酸酯技术改建项目危险与可操作性（HAZOP）分析报告》</w:t>
            </w:r>
            <w:r>
              <w:rPr>
                <w:rFonts w:hint="eastAsia"/>
                <w:lang w:eastAsia="zh-CN"/>
              </w:rPr>
              <w:t>；</w:t>
            </w:r>
            <w:r>
              <w:rPr>
                <w:rFonts w:hint="eastAsia"/>
                <w:lang w:val="en-US" w:eastAsia="zh-CN"/>
              </w:rPr>
              <w:t>2025年4月委托山东鸿运工程设计有限公司出具了《江西核工业金品生物科技有限公司年产500吨4－苯氧基－2,6－二异丙基苯硫代异氰酸酯技术改建项目保护层分析(LOPA)及SIL定级报告》。</w:t>
            </w:r>
          </w:p>
          <w:p w14:paraId="38393C81">
            <w:pPr>
              <w:bidi w:val="0"/>
              <w:rPr>
                <w:rFonts w:hint="eastAsia"/>
                <w:lang w:eastAsia="zh-CN"/>
              </w:rPr>
            </w:pPr>
            <w:r>
              <w:rPr>
                <w:rFonts w:hint="eastAsia"/>
                <w:lang w:val="en-US" w:eastAsia="zh-CN"/>
              </w:rPr>
              <w:t>2023年8月，</w:t>
            </w:r>
            <w:r>
              <w:rPr>
                <w:rFonts w:hint="eastAsia"/>
                <w:lang w:eastAsia="zh-CN"/>
              </w:rPr>
              <w:t>山东鸿运工程设计有限公司以江西核工业金品生物科技有限公司所提供</w:t>
            </w:r>
            <w:r>
              <w:rPr>
                <w:rFonts w:hint="eastAsia"/>
                <w:lang w:val="en-US" w:eastAsia="zh-CN"/>
              </w:rPr>
              <w:t>的</w:t>
            </w:r>
            <w:r>
              <w:rPr>
                <w:rFonts w:hint="eastAsia"/>
                <w:lang w:eastAsia="zh-CN"/>
              </w:rPr>
              <w:t>工艺、设备、物料、操作工况及自控联锁关系等资料为基础进行分析编制了《江西核工业金品生物科技有限公司在役生产装置全流程自动化控制改造设计方案》，并通过了专家审查。</w:t>
            </w:r>
          </w:p>
          <w:p w14:paraId="037F1136">
            <w:pPr>
              <w:spacing w:line="240" w:lineRule="auto"/>
              <w:ind w:firstLine="560"/>
              <w:rPr>
                <w:rFonts w:hint="eastAsia"/>
                <w:snapToGrid w:val="0"/>
              </w:rPr>
            </w:pP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24BED707">
            <w:pPr>
              <w:keepNext w:val="0"/>
              <w:keepLines w:val="0"/>
              <w:widowControl/>
              <w:suppressLineNumbers w:val="0"/>
              <w:ind w:left="0" w:leftChars="0" w:firstLine="218" w:firstLineChars="104"/>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78960" cy="709930"/>
                  <wp:effectExtent l="0" t="0" r="2540" b="13970"/>
                  <wp:docPr id="12" name="图片 12" descr="工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艺图片"/>
                          <pic:cNvPicPr>
                            <a:picLocks noChangeAspect="1"/>
                          </pic:cNvPicPr>
                        </pic:nvPicPr>
                        <pic:blipFill>
                          <a:blip r:embed="rId4"/>
                          <a:stretch>
                            <a:fillRect/>
                          </a:stretch>
                        </pic:blipFill>
                        <pic:spPr>
                          <a:xfrm>
                            <a:off x="0" y="0"/>
                            <a:ext cx="4378960" cy="709930"/>
                          </a:xfrm>
                          <a:prstGeom prst="rect">
                            <a:avLst/>
                          </a:prstGeom>
                        </pic:spPr>
                      </pic:pic>
                    </a:graphicData>
                  </a:graphic>
                </wp:inline>
              </w:drawing>
            </w:r>
          </w:p>
          <w:p w14:paraId="7CFABCC0">
            <w:pPr>
              <w:pStyle w:val="21"/>
              <w:ind w:left="0" w:leftChars="0" w:firstLine="0" w:firstLineChars="0"/>
            </w:pP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drawing>
          <wp:inline distT="0" distB="0" distL="114300" distR="114300">
            <wp:extent cx="5827395" cy="3759835"/>
            <wp:effectExtent l="0" t="0" r="190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827395" cy="3759835"/>
                    </a:xfrm>
                    <a:prstGeom prst="rect">
                      <a:avLst/>
                    </a:prstGeom>
                    <a:noFill/>
                    <a:ln>
                      <a:noFill/>
                    </a:ln>
                  </pic:spPr>
                </pic:pic>
              </a:graphicData>
            </a:graphic>
          </wp:inline>
        </w:drawing>
      </w:r>
      <w:r>
        <w:drawing>
          <wp:inline distT="0" distB="0" distL="114300" distR="114300">
            <wp:extent cx="5831205" cy="3879850"/>
            <wp:effectExtent l="0" t="0" r="1714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831205" cy="3879850"/>
                    </a:xfrm>
                    <a:prstGeom prst="rect">
                      <a:avLst/>
                    </a:prstGeom>
                    <a:noFill/>
                    <a:ln>
                      <a:noFill/>
                    </a:ln>
                  </pic:spPr>
                </pic:pic>
              </a:graphicData>
            </a:graphic>
          </wp:inline>
        </w:drawing>
      </w:r>
    </w:p>
    <w:p w14:paraId="58FEB898">
      <w:pPr>
        <w:rPr>
          <w:rFonts w:hint="eastAsia"/>
          <w:lang w:eastAsia="zh-CN"/>
        </w:rPr>
      </w:pPr>
    </w:p>
    <w:p w14:paraId="7F3E3485">
      <w:pPr>
        <w:rPr>
          <w:rFonts w:hint="eastAsia"/>
          <w:lang w:eastAsia="zh-CN"/>
        </w:rPr>
      </w:pPr>
    </w:p>
    <w:p w14:paraId="523DCE7C">
      <w:pPr>
        <w:rPr>
          <w:rFonts w:hint="eastAsia"/>
          <w:lang w:eastAsia="zh-CN"/>
        </w:rPr>
      </w:pPr>
      <w:r>
        <w:rPr>
          <w:rFonts w:hint="eastAsia"/>
          <w:lang w:eastAsia="zh-CN"/>
        </w:rPr>
        <w:br w:type="page"/>
      </w:r>
    </w:p>
    <w:p w14:paraId="2B1DFF98">
      <w:pPr>
        <w:pStyle w:val="21"/>
        <w:ind w:left="0" w:leftChars="0" w:firstLine="0" w:firstLineChars="0"/>
        <w:jc w:val="center"/>
        <w:rPr>
          <w:rFonts w:hint="eastAsia" w:eastAsia="宋体"/>
          <w:lang w:eastAsia="zh-CN"/>
        </w:rPr>
      </w:pPr>
      <w:r>
        <w:drawing>
          <wp:inline distT="0" distB="0" distL="114300" distR="114300">
            <wp:extent cx="5274310" cy="7376160"/>
            <wp:effectExtent l="0" t="0" r="254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4310" cy="7376160"/>
                    </a:xfrm>
                    <a:prstGeom prst="rect">
                      <a:avLst/>
                    </a:prstGeom>
                    <a:noFill/>
                    <a:ln>
                      <a:noFill/>
                    </a:ln>
                  </pic:spPr>
                </pic:pic>
              </a:graphicData>
            </a:graphic>
          </wp:inline>
        </w:drawing>
      </w:r>
      <w:r>
        <w:drawing>
          <wp:inline distT="0" distB="0" distL="114300" distR="114300">
            <wp:extent cx="5272405" cy="8213725"/>
            <wp:effectExtent l="0" t="0" r="444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2405" cy="8213725"/>
                    </a:xfrm>
                    <a:prstGeom prst="rect">
                      <a:avLst/>
                    </a:prstGeom>
                    <a:noFill/>
                    <a:ln>
                      <a:noFill/>
                    </a:ln>
                  </pic:spPr>
                </pic:pic>
              </a:graphicData>
            </a:graphic>
          </wp:inline>
        </w:drawing>
      </w:r>
      <w:r>
        <w:drawing>
          <wp:inline distT="0" distB="0" distL="114300" distR="114300">
            <wp:extent cx="5273040" cy="8467725"/>
            <wp:effectExtent l="0" t="0" r="381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73040" cy="846772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EAF6F46"/>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B81EE5"/>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640401"/>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ind w:firstLine="538" w:firstLineChars="192"/>
    </w:pPr>
    <w:rPr>
      <w:rFonts w:ascii="宋体" w:hAnsi="宋体"/>
      <w:sz w:val="28"/>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8"/>
    <w:next w:val="1"/>
    <w:qFormat/>
    <w:uiPriority w:val="0"/>
    <w:pPr>
      <w:spacing w:after="120"/>
      <w:ind w:firstLine="420" w:firstLineChars="100"/>
    </w:pPr>
  </w:style>
  <w:style w:type="paragraph" w:styleId="21">
    <w:name w:val="Body Text First Indent 2"/>
    <w:basedOn w:val="9"/>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Pages>
  <Words>1105</Words>
  <Characters>1463</Characters>
  <Lines>8</Lines>
  <Paragraphs>2</Paragraphs>
  <TotalTime>0</TotalTime>
  <ScaleCrop>false</ScaleCrop>
  <LinksUpToDate>false</LinksUpToDate>
  <CharactersWithSpaces>1466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半世浮沉</cp:lastModifiedBy>
  <dcterms:modified xsi:type="dcterms:W3CDTF">2026-01-08T08:02:52Z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36657EBBF9304A29BC5805A30ED0A24D_13</vt:lpwstr>
  </property>
  <property fmtid="{D5CDD505-2E9C-101B-9397-08002B2CF9AE}" pid="4" name="KSOTemplateDocerSaveRecord">
    <vt:lpwstr>eyJoZGlkIjoiZWFiNjJmMGY3OTg0YWY0NTA0NjBmZTM3NmY0MDkxZjIiLCJ1c2VySWQiOiI0NTExNjk1MTUifQ==</vt:lpwstr>
  </property>
</Properties>
</file>