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bookmarkStart w:id="0" w:name="_GoBack"/>
      <w:bookmarkEnd w:id="0"/>
    </w:p>
    <w:tbl>
      <w:tblPr>
        <w:tblStyle w:val="25"/>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吉安谊盛电子材料有限公司年存储经营12000吨电子新能源材料项目安全条件评价</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10</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val="en-US" w:eastAsia="zh-CN"/>
              </w:rPr>
              <w:t>赵云锋</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0000000</w:t>
            </w:r>
            <w:r>
              <w:rPr>
                <w:rFonts w:hint="eastAsia" w:ascii="宋体" w:hAnsi="宋体" w:cs="宋体"/>
                <w:sz w:val="24"/>
                <w:lang w:val="en-US" w:eastAsia="zh-CN"/>
              </w:rPr>
              <w:t>02</w:t>
            </w:r>
            <w:r>
              <w:rPr>
                <w:rFonts w:hint="eastAsia" w:ascii="宋体" w:hAnsi="宋体" w:cs="宋体"/>
                <w:sz w:val="24"/>
              </w:rPr>
              <w:t>00</w:t>
            </w:r>
            <w:r>
              <w:rPr>
                <w:rFonts w:hint="eastAsia" w:ascii="宋体" w:hAnsi="宋体" w:cs="宋体"/>
                <w:sz w:val="24"/>
                <w:lang w:val="en-US" w:eastAsia="zh-CN"/>
              </w:rPr>
              <w:t>809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rPr>
              <w:t>0</w:t>
            </w:r>
            <w:r>
              <w:rPr>
                <w:rFonts w:hint="eastAsia" w:ascii="宋体" w:hAnsi="宋体" w:cs="宋体"/>
                <w:sz w:val="24"/>
                <w:lang w:val="en-US" w:eastAsia="zh-CN"/>
              </w:rPr>
              <w:t>30095</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rPr>
            </w:pPr>
            <w:r>
              <w:rPr>
                <w:rFonts w:hint="eastAsia" w:ascii="宋体" w:hAnsi="宋体" w:eastAsia="宋体" w:cs="宋体"/>
                <w:sz w:val="24"/>
                <w:lang w:val="en-US" w:eastAsia="zh-CN"/>
              </w:rPr>
              <w:t>舒</w:t>
            </w:r>
            <w:r>
              <w:rPr>
                <w:rFonts w:hint="eastAsia" w:ascii="宋体" w:hAnsi="宋体" w:eastAsia="宋体" w:cs="宋体"/>
                <w:sz w:val="24"/>
              </w:rPr>
              <w:t>斌</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rPr>
            </w:pPr>
            <w:r>
              <w:rPr>
                <w:rFonts w:hint="eastAsia" w:ascii="宋体" w:hAnsi="宋体" w:eastAsia="宋体" w:cs="宋体"/>
                <w:sz w:val="24"/>
                <w:lang w:eastAsia="zh-CN"/>
              </w:rPr>
              <w:t>0800000000205889</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013031</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1100000000302946</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020045</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2024年12月24日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317857E">
            <w:pPr>
              <w:spacing w:line="240" w:lineRule="auto"/>
              <w:ind w:firstLine="560"/>
              <w:rPr>
                <w:rFonts w:hint="eastAsia"/>
              </w:rPr>
            </w:pPr>
            <w:r>
              <w:rPr>
                <w:rFonts w:hint="eastAsia"/>
              </w:rPr>
              <w:t>吉安谊盛电子材料有限公司成立于2010年8月13日，注册资金人民币叁仟万元，统一信用代码：91360821558492622L，公司类型：有限责任公司（自然人投资或控股），法定代表人：唐毅。该公司位于江西省吉安市吉安县吉安高新技术产业开发区凤凰大道9号。营业执照许可经营范围：危险化学品经营(依法须经批准的项目，经相关部门批准后在许可有效期内方可开展经营活动，具体经营项目和许可期限以相关部门批准文件或许可证件为准)一般项目：电子专用材料研发，电子专用材料制造，电子专用材料销售，新材料技术研发，货物进出口，专用化学产品制造(不含危险化学品)，专用化学产品销售(不含危险化学品)，仪器仪表销售，电子测量仪器销售，电子元器件与机电组件设备销售，电子专用设备销售，表面功能材料销售(除依法须经批准的项目外，凭营业执照依法自主开展经营活动)。</w:t>
            </w:r>
          </w:p>
          <w:p w14:paraId="57B27F2A">
            <w:pPr>
              <w:spacing w:line="240" w:lineRule="auto"/>
              <w:ind w:firstLine="560"/>
              <w:rPr>
                <w:rFonts w:hint="eastAsia"/>
              </w:rPr>
            </w:pPr>
            <w:r>
              <w:rPr>
                <w:rFonts w:hint="eastAsia"/>
              </w:rPr>
              <w:t>吉安谊盛电子材料有限公司2024年7月24日取得吉安高新技术产业开发区科技发展局出具的《江西省工业企业技术改造项目备案通知书》，项目统一代码：2311-360899-04-05-155415。项目名称：吉安谊盛电子材料有限公司年存储经营12000吨电子新能源材料项目。</w:t>
            </w:r>
          </w:p>
          <w:p w14:paraId="5404EF99">
            <w:pPr>
              <w:spacing w:line="240" w:lineRule="auto"/>
              <w:ind w:firstLine="560"/>
              <w:rPr>
                <w:rFonts w:hint="eastAsia"/>
              </w:rPr>
            </w:pPr>
            <w:r>
              <w:rPr>
                <w:rFonts w:hint="eastAsia"/>
              </w:rPr>
              <w:t>根据《国民经济行业分类》GB/T 4754-2017 、《国民经济行业分类》国家标准第1号修改单GB/T 4754-2017/XG1-2019对本项目进行辨识：本期项目涉及分装复配的部分，属于电子专用材料制造〔C3985〕行业；涉及仓储经营的部分，属于危险化学品仓储〔G5942〕行业。</w:t>
            </w:r>
          </w:p>
          <w:p w14:paraId="422E1AD2">
            <w:pPr>
              <w:spacing w:line="240" w:lineRule="auto"/>
              <w:ind w:firstLine="560"/>
              <w:rPr>
                <w:rFonts w:hint="eastAsia"/>
                <w:snapToGrid w:val="0"/>
              </w:rPr>
            </w:pPr>
            <w:r>
              <w:rPr>
                <w:rFonts w:hint="eastAsia"/>
              </w:rPr>
              <w:t>本期项目涉及产品的生产工艺均未涉及化学反应，主要是物理混配。</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8D64F75">
            <w:pPr>
              <w:pStyle w:val="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焊膏(助焊膏、锡膏)</w:t>
            </w:r>
            <w:r>
              <w:rPr>
                <w:rFonts w:hint="eastAsia"/>
                <w:color w:val="000000" w:themeColor="text1"/>
                <w:lang w:val="en-US" w:eastAsia="zh-CN"/>
                <w14:textFill>
                  <w14:solidFill>
                    <w14:schemeClr w14:val="tx1"/>
                  </w14:solidFill>
                </w14:textFill>
              </w:rPr>
              <w:t>等</w:t>
            </w:r>
            <w:r>
              <w:rPr>
                <w:rFonts w:hint="eastAsia"/>
                <w:color w:val="000000" w:themeColor="text1"/>
                <w14:textFill>
                  <w14:solidFill>
                    <w14:schemeClr w14:val="tx1"/>
                  </w14:solidFill>
                </w14:textFill>
              </w:rPr>
              <w:t>复配工艺</w:t>
            </w:r>
          </w:p>
          <w:p w14:paraId="0FB7D4C1">
            <w:pPr>
              <w:ind w:firstLine="562"/>
              <w:rPr>
                <w:b/>
                <w:bCs/>
                <w:color w:val="000000" w:themeColor="text1"/>
                <w:lang w:val="zh-CN"/>
                <w14:textFill>
                  <w14:solidFill>
                    <w14:schemeClr w14:val="tx1"/>
                  </w14:solidFill>
                </w14:textFill>
              </w:rPr>
            </w:pPr>
            <w:r>
              <w:rPr>
                <w:rFonts w:hint="eastAsia"/>
                <w:b/>
                <w:bCs/>
                <w:color w:val="000000" w:themeColor="text1"/>
                <w14:textFill>
                  <w14:solidFill>
                    <w14:schemeClr w14:val="tx1"/>
                  </w14:solidFill>
                </w14:textFill>
              </w:rPr>
              <w:t>1、</w:t>
            </w:r>
            <w:r>
              <w:rPr>
                <w:rFonts w:hint="eastAsia"/>
                <w:b/>
                <w:bCs/>
                <w:color w:val="000000" w:themeColor="text1"/>
                <w:lang w:val="zh-CN"/>
                <w14:textFill>
                  <w14:solidFill>
                    <w14:schemeClr w14:val="tx1"/>
                  </w14:solidFill>
                </w14:textFill>
              </w:rPr>
              <w:t>工艺流程简介：</w:t>
            </w:r>
          </w:p>
          <w:p w14:paraId="1A699AFA">
            <w:pPr>
              <w:ind w:firstLine="56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根据原辅料</w:t>
            </w:r>
            <w:r>
              <w:rPr>
                <w:rFonts w:hint="eastAsia"/>
                <w:color w:val="000000" w:themeColor="text1"/>
                <w14:textFill>
                  <w14:solidFill>
                    <w14:schemeClr w14:val="tx1"/>
                  </w14:solidFill>
                </w14:textFill>
              </w:rPr>
              <w:t>配比，经</w:t>
            </w:r>
            <w:r>
              <w:rPr>
                <w:rFonts w:hint="eastAsia"/>
                <w:color w:val="000000" w:themeColor="text1"/>
                <w:lang w:val="en-US" w:eastAsia="zh-CN"/>
                <w14:textFill>
                  <w14:solidFill>
                    <w14:schemeClr w14:val="tx1"/>
                  </w14:solidFill>
                </w14:textFill>
              </w:rPr>
              <w:t>搅拌罐充分搅拌后</w:t>
            </w:r>
            <w:r>
              <w:rPr>
                <w:rFonts w:hint="eastAsia"/>
                <w:color w:val="000000" w:themeColor="text1"/>
                <w14:textFill>
                  <w14:solidFill>
                    <w14:schemeClr w14:val="tx1"/>
                  </w14:solidFill>
                </w14:textFill>
              </w:rPr>
              <w:t>得产品</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整个过程不涉及化学反应，为</w:t>
            </w:r>
            <w:r>
              <w:rPr>
                <w:rFonts w:hint="eastAsia"/>
                <w:color w:val="000000" w:themeColor="text1"/>
                <w:lang w:val="en-US" w:eastAsia="zh-CN"/>
                <w14:textFill>
                  <w14:solidFill>
                    <w14:schemeClr w14:val="tx1"/>
                  </w14:solidFill>
                </w14:textFill>
              </w:rPr>
              <w:t>常压、常温、</w:t>
            </w:r>
            <w:r>
              <w:rPr>
                <w:rFonts w:hint="eastAsia"/>
                <w:color w:val="000000" w:themeColor="text1"/>
                <w14:textFill>
                  <w14:solidFill>
                    <w14:schemeClr w14:val="tx1"/>
                  </w14:solidFill>
                </w14:textFill>
              </w:rPr>
              <w:t>物理复配过程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搅拌结束后，对物料进行取样检验，如果合格，则将产品进行包装，如果不合格则继续进行搅拌，直到产品达到质量标准为止。</w:t>
            </w:r>
          </w:p>
          <w:p w14:paraId="606B23E6">
            <w:pPr>
              <w:ind w:firstLine="562"/>
              <w:rPr>
                <w:b/>
                <w:bCs/>
                <w:color w:val="000000" w:themeColor="text1"/>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、工艺流程简图：</w:t>
            </w:r>
          </w:p>
          <w:p w14:paraId="094D2429">
            <w:pPr>
              <w:adjustRightInd w:val="0"/>
              <w:snapToGrid w:val="0"/>
              <w:ind w:firstLine="0" w:firstLineChars="0"/>
              <w:jc w:val="center"/>
              <w:rPr>
                <w:rFonts w:hint="eastAsia" w:hAnsi="宋体" w:eastAsia="宋体"/>
                <w:color w:val="000000" w:themeColor="text1"/>
                <w:lang w:eastAsia="zh-CN"/>
                <w14:textFill>
                  <w14:solidFill>
                    <w14:schemeClr w14:val="tx1"/>
                  </w14:solidFill>
                </w14:textFill>
              </w:rPr>
            </w:pPr>
            <w:r>
              <w:rPr>
                <w:rFonts w:hint="eastAsia" w:hAnsi="宋体" w:eastAsia="宋体"/>
                <w:color w:val="000000" w:themeColor="text1"/>
                <w:lang w:eastAsia="zh-CN"/>
                <w14:textFill>
                  <w14:solidFill>
                    <w14:schemeClr w14:val="tx1"/>
                  </w14:solidFill>
                </w14:textFill>
              </w:rPr>
              <w:drawing>
                <wp:inline distT="0" distB="0" distL="114300" distR="114300">
                  <wp:extent cx="2593975" cy="554990"/>
                  <wp:effectExtent l="0" t="0" r="0" b="0"/>
                  <wp:docPr id="12" name="图片 12" descr="未命名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命名文件(2)"/>
                          <pic:cNvPicPr>
                            <a:picLocks noChangeAspect="1"/>
                          </pic:cNvPicPr>
                        </pic:nvPicPr>
                        <pic:blipFill>
                          <a:blip r:embed="rId4"/>
                          <a:stretch>
                            <a:fillRect/>
                          </a:stretch>
                        </pic:blipFill>
                        <pic:spPr>
                          <a:xfrm>
                            <a:off x="0" y="0"/>
                            <a:ext cx="2593975" cy="554990"/>
                          </a:xfrm>
                          <a:prstGeom prst="rect">
                            <a:avLst/>
                          </a:prstGeom>
                        </pic:spPr>
                      </pic:pic>
                    </a:graphicData>
                  </a:graphic>
                </wp:inline>
              </w:drawing>
            </w:r>
          </w:p>
          <w:p w14:paraId="6D9F43FD">
            <w:pPr>
              <w:pStyle w:val="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高纯湿电子化学品生产工艺</w:t>
            </w:r>
          </w:p>
          <w:p w14:paraId="1DDBFF91">
            <w:pPr>
              <w:ind w:firstLine="562"/>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纯化系列产品</w:t>
            </w:r>
          </w:p>
          <w:p w14:paraId="36307814">
            <w:pPr>
              <w:ind w:firstLine="562"/>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工艺流程简介：</w:t>
            </w:r>
          </w:p>
          <w:p w14:paraId="00C88A35">
            <w:pPr>
              <w:ind w:firstLine="56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项目纯化试剂生产主要是将精制级原料采用精密过滤器进行过滤处理后得到高纯度试剂的过程。</w:t>
            </w:r>
          </w:p>
          <w:p w14:paraId="378BF85C">
            <w:pPr>
              <w:ind w:firstLine="562"/>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混配系列产品</w:t>
            </w:r>
          </w:p>
          <w:p w14:paraId="5DF41079">
            <w:pPr>
              <w:ind w:firstLine="562"/>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工艺流程简介：</w:t>
            </w:r>
          </w:p>
          <w:p w14:paraId="26AD729A">
            <w:pPr>
              <w:pStyle w:val="23"/>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混配试剂生产主要是将两种及两种以上的原料试剂分别经过按批次计量经输送泵送入精密过滤器中，通过阳离子交换树脂或分子筛和微孔过滤器处理后进入搅拌釜混合配制过程。生产的混配试剂主要有蚀刻剂、显影液、剥离液等。</w:t>
            </w:r>
          </w:p>
          <w:p w14:paraId="35230DA2">
            <w:pPr>
              <w:pStyle w:val="7"/>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三、溶剂分装和储存经营工艺</w:t>
            </w:r>
          </w:p>
          <w:p w14:paraId="51048915">
            <w:pPr>
              <w:ind w:firstLine="562"/>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工艺流程简介：</w:t>
            </w:r>
          </w:p>
          <w:p w14:paraId="5B6C7765">
            <w:pPr>
              <w:ind w:firstLine="5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使用原料中，溶剂分装生产过程中，除了乙醇、异丙醇、乙二醇单丁醚等几种用量大的化学品在罐区常备，单独存储，其余溶剂原料包装形式均为200L铁皮桶，储存于相应仓库内。由于企业存储经营的二十余种化学品性质接近，溶剂分装生产过程共用溶剂分装罐，在更换另一种溶剂分装时，只要让罐内原来溶剂自然流尽，即便有微量不同溶剂混合，亦不影响溶剂的使用。</w:t>
            </w:r>
          </w:p>
          <w:p w14:paraId="07C66C9B">
            <w:pPr>
              <w:ind w:firstLine="5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主要工艺过程简述如下：</w:t>
            </w:r>
          </w:p>
          <w:p w14:paraId="5433AF36">
            <w:pPr>
              <w:ind w:firstLine="5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溶剂原料通过隔膜泵输送至溶剂分装罐，打开放空管，将分装罐的软管与分装容器可靠连接，打开阀门，溶剂通过重力流入分装容器中，经计量后根据需求分装至20L、40L或200L的桶内，然后入库。</w:t>
            </w:r>
          </w:p>
          <w:p w14:paraId="66E6FA43">
            <w:pPr>
              <w:pStyle w:val="7"/>
              <w:keepNext/>
              <w:keepLines/>
              <w:pageBreakBefore w:val="0"/>
              <w:widowControl/>
              <w:kinsoku/>
              <w:wordWrap/>
              <w:overflowPunct/>
              <w:topLinePunct w:val="0"/>
              <w:autoSpaceDE/>
              <w:autoSpaceDN/>
              <w:bidi w:val="0"/>
              <w:adjustRightInd/>
              <w:snapToGrid/>
              <w:spacing w:before="157" w:beforeLines="5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制纯水</w:t>
            </w:r>
            <w:r>
              <w:rPr>
                <w:color w:val="000000" w:themeColor="text1"/>
                <w14:textFill>
                  <w14:solidFill>
                    <w14:schemeClr w14:val="tx1"/>
                  </w14:solidFill>
                </w14:textFill>
              </w:rPr>
              <w:t>工艺</w:t>
            </w:r>
            <w:r>
              <w:rPr>
                <w:rFonts w:hint="eastAsia"/>
                <w:color w:val="000000" w:themeColor="text1"/>
                <w14:textFill>
                  <w14:solidFill>
                    <w14:schemeClr w14:val="tx1"/>
                  </w14:solidFill>
                </w14:textFill>
              </w:rPr>
              <w:t>流程</w:t>
            </w:r>
          </w:p>
          <w:p w14:paraId="461BDBCB">
            <w:pPr>
              <w:ind w:firstLine="560"/>
              <w:rPr>
                <w:color w:val="000000" w:themeColor="text1"/>
                <w:lang w:bidi="ar"/>
                <w14:textFill>
                  <w14:solidFill>
                    <w14:schemeClr w14:val="tx1"/>
                  </w14:solidFill>
                </w14:textFill>
              </w:rPr>
            </w:pPr>
            <w:r>
              <w:rPr>
                <w:color w:val="000000" w:themeColor="text1"/>
                <w:lang w:bidi="ar"/>
                <w14:textFill>
                  <w14:solidFill>
                    <w14:schemeClr w14:val="tx1"/>
                  </w14:solidFill>
                </w14:textFill>
              </w:rPr>
              <w:t>采用反渗透法制得纯水，原水经泵打入砂碳过滤器，再经阳离子交换器和阴离子交换器后采用紫外线杀菌，进入水箱制得纯水，然后经纯水泵打至用水点。</w:t>
            </w:r>
          </w:p>
          <w:p w14:paraId="35CBD376">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产品包装说明</w:t>
            </w:r>
          </w:p>
          <w:p w14:paraId="4321A565">
            <w:pPr>
              <w:ind w:firstLine="560"/>
            </w:pPr>
            <w:r>
              <w:rPr>
                <w:color w:val="000000" w:themeColor="text1"/>
                <w:lang w:bidi="ar"/>
                <w14:textFill>
                  <w14:solidFill>
                    <w14:schemeClr w14:val="tx1"/>
                  </w14:solidFill>
                </w14:textFill>
              </w:rPr>
              <w:t>分装车间各产品涉及甲</w:t>
            </w:r>
            <w:r>
              <w:rPr>
                <w:rFonts w:hint="eastAsia"/>
                <w:color w:val="000000" w:themeColor="text1"/>
                <w:lang w:eastAsia="zh-CN" w:bidi="ar"/>
                <w14:textFill>
                  <w14:solidFill>
                    <w14:schemeClr w14:val="tx1"/>
                  </w14:solidFill>
                </w14:textFill>
              </w:rPr>
              <w:t>、</w:t>
            </w:r>
            <w:r>
              <w:rPr>
                <w:color w:val="000000" w:themeColor="text1"/>
                <w:lang w:bidi="ar"/>
                <w14:textFill>
                  <w14:solidFill>
                    <w14:schemeClr w14:val="tx1"/>
                  </w14:solidFill>
                </w14:textFill>
              </w:rPr>
              <w:t>乙类物料，包装时采用不锈钢金属软管放入包装桶，密封后人工开启调和罐放料阀，设置防爆电子计量称，定量包装，计量称达到指定数值时关闭调和罐放料阀，用原桶盖盖住包装桶孔。</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55D7673D">
      <w:pPr>
        <w:ind w:firstLine="0" w:firstLineChars="0"/>
        <w:jc w:val="center"/>
        <w:rPr>
          <w:rFonts w:hAnsi="宋体" w:cs="宋体"/>
          <w:color w:val="000000" w:themeColor="text1"/>
          <w14:textFill>
            <w14:solidFill>
              <w14:schemeClr w14:val="tx1"/>
            </w14:solidFill>
          </w14:textFill>
        </w:rPr>
      </w:pPr>
      <w:r>
        <w:rPr>
          <w:rFonts w:hint="eastAsia" w:hAnsi="宋体" w:eastAsia="宋体" w:cs="宋体"/>
          <w:color w:val="000000" w:themeColor="text1"/>
          <w:lang w:eastAsia="zh-CN"/>
          <w14:textFill>
            <w14:solidFill>
              <w14:schemeClr w14:val="tx1"/>
            </w14:solidFill>
          </w14:textFill>
        </w:rPr>
        <w:drawing>
          <wp:inline distT="0" distB="0" distL="114300" distR="114300">
            <wp:extent cx="5807075" cy="4174490"/>
            <wp:effectExtent l="0" t="0" r="14605" b="1270"/>
            <wp:docPr id="33" name="图片 33" descr="196326402268215d833c0ac025f6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96326402268215d833c0ac025f61b7"/>
                    <pic:cNvPicPr>
                      <a:picLocks noChangeAspect="1"/>
                    </pic:cNvPicPr>
                  </pic:nvPicPr>
                  <pic:blipFill>
                    <a:blip r:embed="rId5"/>
                    <a:stretch>
                      <a:fillRect/>
                    </a:stretch>
                  </pic:blipFill>
                  <pic:spPr>
                    <a:xfrm>
                      <a:off x="0" y="0"/>
                      <a:ext cx="5807075" cy="4174490"/>
                    </a:xfrm>
                    <a:prstGeom prst="rect">
                      <a:avLst/>
                    </a:prstGeom>
                  </pic:spPr>
                </pic:pic>
              </a:graphicData>
            </a:graphic>
          </wp:inline>
        </w:drawing>
      </w:r>
    </w:p>
    <w:p w14:paraId="43A07FC7">
      <w:pPr>
        <w:ind w:left="0" w:leftChars="0" w:firstLine="0" w:firstLineChars="0"/>
        <w:jc w:val="left"/>
        <w:rPr>
          <w:rFonts w:hint="eastAsia" w:hAnsi="宋体" w:eastAsia="宋体" w:cs="宋体"/>
          <w:color w:val="000000" w:themeColor="text1"/>
          <w:lang w:eastAsia="zh-CN"/>
          <w14:textFill>
            <w14:solidFill>
              <w14:schemeClr w14:val="tx1"/>
            </w14:solidFill>
          </w14:textFill>
        </w:rPr>
      </w:pPr>
      <w:r>
        <w:rPr>
          <w:rFonts w:hint="eastAsia" w:hAnsi="宋体" w:eastAsia="宋体" w:cs="宋体"/>
          <w:color w:val="000000" w:themeColor="text1"/>
          <w:lang w:eastAsia="zh-CN"/>
          <w14:textFill>
            <w14:solidFill>
              <w14:schemeClr w14:val="tx1"/>
            </w14:solidFill>
          </w14:textFill>
        </w:rPr>
        <w:drawing>
          <wp:inline distT="0" distB="0" distL="114300" distR="114300">
            <wp:extent cx="5777865" cy="3996055"/>
            <wp:effectExtent l="0" t="0" r="13335" b="12065"/>
            <wp:docPr id="44" name="图片 44" descr="e612124ed604236faaad5ff53f30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612124ed604236faaad5ff53f30bf2"/>
                    <pic:cNvPicPr>
                      <a:picLocks noChangeAspect="1"/>
                    </pic:cNvPicPr>
                  </pic:nvPicPr>
                  <pic:blipFill>
                    <a:blip r:embed="rId6"/>
                    <a:stretch>
                      <a:fillRect/>
                    </a:stretch>
                  </pic:blipFill>
                  <pic:spPr>
                    <a:xfrm>
                      <a:off x="0" y="0"/>
                      <a:ext cx="5777865" cy="3996055"/>
                    </a:xfrm>
                    <a:prstGeom prst="rect">
                      <a:avLst/>
                    </a:prstGeom>
                  </pic:spPr>
                </pic:pic>
              </a:graphicData>
            </a:graphic>
          </wp:inline>
        </w:drawing>
      </w:r>
    </w:p>
    <w:p w14:paraId="441F77E8">
      <w:pPr>
        <w:rPr>
          <w:rFonts w:hint="eastAsia"/>
          <w:lang w:eastAsia="zh-CN"/>
        </w:rPr>
      </w:pPr>
    </w:p>
    <w:p w14:paraId="1FF25FBA">
      <w:pPr>
        <w:rPr>
          <w:rFonts w:hint="eastAsia"/>
          <w:lang w:eastAsia="zh-CN"/>
        </w:rPr>
      </w:pPr>
      <w:r>
        <w:rPr>
          <w:rFonts w:hint="eastAsia"/>
          <w:lang w:eastAsia="zh-CN"/>
        </w:rPr>
        <w:drawing>
          <wp:inline distT="0" distB="0" distL="114300" distR="114300">
            <wp:extent cx="5910580" cy="8362950"/>
            <wp:effectExtent l="0" t="0" r="2540" b="3810"/>
            <wp:docPr id="35" name="图片 35" descr="新安达-谊盛安全条件评价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新安达-谊盛安全条件评价合同_01"/>
                    <pic:cNvPicPr>
                      <a:picLocks noChangeAspect="1"/>
                    </pic:cNvPicPr>
                  </pic:nvPicPr>
                  <pic:blipFill>
                    <a:blip r:embed="rId7"/>
                    <a:stretch>
                      <a:fillRect/>
                    </a:stretch>
                  </pic:blipFill>
                  <pic:spPr>
                    <a:xfrm>
                      <a:off x="0" y="0"/>
                      <a:ext cx="5910580" cy="8362950"/>
                    </a:xfrm>
                    <a:prstGeom prst="rect">
                      <a:avLst/>
                    </a:prstGeom>
                  </pic:spPr>
                </pic:pic>
              </a:graphicData>
            </a:graphic>
          </wp:inline>
        </w:drawing>
      </w:r>
      <w:r>
        <w:rPr>
          <w:rFonts w:hint="eastAsia"/>
          <w:lang w:eastAsia="zh-CN"/>
        </w:rPr>
        <w:drawing>
          <wp:inline distT="0" distB="0" distL="114300" distR="114300">
            <wp:extent cx="5904865" cy="8355965"/>
            <wp:effectExtent l="0" t="0" r="8255" b="10795"/>
            <wp:docPr id="34" name="图片 34" descr="新安达-谊盛安全条件评价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安达-谊盛安全条件评价合同_04"/>
                    <pic:cNvPicPr>
                      <a:picLocks noChangeAspect="1"/>
                    </pic:cNvPicPr>
                  </pic:nvPicPr>
                  <pic:blipFill>
                    <a:blip r:embed="rId8"/>
                    <a:stretch>
                      <a:fillRect/>
                    </a:stretch>
                  </pic:blipFill>
                  <pic:spPr>
                    <a:xfrm>
                      <a:off x="0" y="0"/>
                      <a:ext cx="5904865" cy="8355965"/>
                    </a:xfrm>
                    <a:prstGeom prst="rect">
                      <a:avLst/>
                    </a:prstGeom>
                  </pic:spPr>
                </pic:pic>
              </a:graphicData>
            </a:graphic>
          </wp:inline>
        </w:drawing>
      </w:r>
    </w:p>
    <w:p w14:paraId="7F3E3485">
      <w:pPr>
        <w:rPr>
          <w:rFonts w:hint="eastAsia"/>
          <w:lang w:eastAsia="zh-CN"/>
        </w:rPr>
      </w:pPr>
    </w:p>
    <w:p w14:paraId="523DCE7C">
      <w:pPr>
        <w:rPr>
          <w:rFonts w:hint="eastAsia"/>
          <w:lang w:eastAsia="zh-CN"/>
        </w:rPr>
      </w:pPr>
      <w:r>
        <w:rPr>
          <w:rFonts w:hint="eastAsia"/>
          <w:lang w:eastAsia="zh-CN"/>
        </w:rPr>
        <w:drawing>
          <wp:inline distT="0" distB="0" distL="114300" distR="114300">
            <wp:extent cx="5380355" cy="7609840"/>
            <wp:effectExtent l="0" t="0" r="14605" b="10160"/>
            <wp:docPr id="37" name="图片 37" descr="【出版稿】吉安谊盛电子材料有限公司年存储经营12000吨电子新能源材料项目安全条件评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出版稿】吉安谊盛电子材料有限公司年存储经营12000吨电子新能源材料项目安全条件评价_01"/>
                    <pic:cNvPicPr>
                      <a:picLocks noChangeAspect="1"/>
                    </pic:cNvPicPr>
                  </pic:nvPicPr>
                  <pic:blipFill>
                    <a:blip r:embed="rId9"/>
                    <a:stretch>
                      <a:fillRect/>
                    </a:stretch>
                  </pic:blipFill>
                  <pic:spPr>
                    <a:xfrm>
                      <a:off x="0" y="0"/>
                      <a:ext cx="5380355" cy="7609840"/>
                    </a:xfrm>
                    <a:prstGeom prst="rect">
                      <a:avLst/>
                    </a:prstGeom>
                  </pic:spPr>
                </pic:pic>
              </a:graphicData>
            </a:graphic>
          </wp:inline>
        </w:drawing>
      </w:r>
      <w:r>
        <w:rPr>
          <w:rFonts w:hint="eastAsia"/>
          <w:lang w:eastAsia="zh-CN"/>
        </w:rPr>
        <w:drawing>
          <wp:inline distT="0" distB="0" distL="114300" distR="114300">
            <wp:extent cx="5389245" cy="8214995"/>
            <wp:effectExtent l="0" t="0" r="5715" b="14605"/>
            <wp:docPr id="36" name="图片 36" descr="【出版稿】吉安谊盛电子材料有限公司年存储经营12000吨电子新能源材料项目安全条件评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出版稿】吉安谊盛电子材料有限公司年存储经营12000吨电子新能源材料项目安全条件评价_02"/>
                    <pic:cNvPicPr>
                      <a:picLocks noChangeAspect="1"/>
                    </pic:cNvPicPr>
                  </pic:nvPicPr>
                  <pic:blipFill>
                    <a:blip r:embed="rId10"/>
                    <a:stretch>
                      <a:fillRect/>
                    </a:stretch>
                  </pic:blipFill>
                  <pic:spPr>
                    <a:xfrm>
                      <a:off x="0" y="0"/>
                      <a:ext cx="5389245" cy="8214995"/>
                    </a:xfrm>
                    <a:prstGeom prst="rect">
                      <a:avLst/>
                    </a:prstGeom>
                  </pic:spPr>
                </pic:pic>
              </a:graphicData>
            </a:graphic>
          </wp:inline>
        </w:drawing>
      </w:r>
    </w:p>
    <w:p w14:paraId="2B1DFF98">
      <w:pPr>
        <w:pStyle w:val="23"/>
        <w:ind w:left="0" w:leftChars="0" w:firstLine="0" w:firstLineChars="0"/>
        <w:jc w:val="left"/>
        <w:rPr>
          <w:rFonts w:hint="eastAsia" w:eastAsia="宋体"/>
          <w:lang w:eastAsia="zh-CN"/>
        </w:rPr>
      </w:pPr>
      <w:r>
        <w:rPr>
          <w:rFonts w:hint="eastAsia" w:eastAsia="宋体"/>
          <w:lang w:eastAsia="zh-CN"/>
        </w:rPr>
        <w:drawing>
          <wp:inline distT="0" distB="0" distL="114300" distR="114300">
            <wp:extent cx="5666105" cy="8028305"/>
            <wp:effectExtent l="0" t="0" r="3175" b="3175"/>
            <wp:docPr id="38" name="图片 38" descr="fbd77f9fb4e3044cb1bcf23391b05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bd77f9fb4e3044cb1bcf23391b0596b"/>
                    <pic:cNvPicPr>
                      <a:picLocks noChangeAspect="1"/>
                    </pic:cNvPicPr>
                  </pic:nvPicPr>
                  <pic:blipFill>
                    <a:blip r:embed="rId11"/>
                    <a:stretch>
                      <a:fillRect/>
                    </a:stretch>
                  </pic:blipFill>
                  <pic:spPr>
                    <a:xfrm>
                      <a:off x="0" y="0"/>
                      <a:ext cx="5666105" cy="802830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8"/>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3"/>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27811"/>
    <w:rsid w:val="2E9E272A"/>
    <w:rsid w:val="2EAE6403"/>
    <w:rsid w:val="2F5C124E"/>
    <w:rsid w:val="31055C5A"/>
    <w:rsid w:val="3256187C"/>
    <w:rsid w:val="3259568C"/>
    <w:rsid w:val="32A31CA7"/>
    <w:rsid w:val="32A66941"/>
    <w:rsid w:val="334B2415"/>
    <w:rsid w:val="339918AA"/>
    <w:rsid w:val="33B2186C"/>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0"/>
    <w:pPr>
      <w:autoSpaceDE w:val="0"/>
      <w:autoSpaceDN w:val="0"/>
    </w:pPr>
    <w:rPr>
      <w:rFonts w:hint="eastAsia" w:ascii="宋体"/>
      <w:sz w:val="24"/>
    </w:rPr>
  </w:style>
  <w:style w:type="paragraph" w:customStyle="1" w:styleId="3">
    <w:name w:val="纯文本1"/>
    <w:basedOn w:val="1"/>
    <w:semiHidden/>
    <w:qFormat/>
    <w:uiPriority w:val="0"/>
    <w:pPr>
      <w:textAlignment w:val="baseline"/>
    </w:pPr>
    <w:rPr>
      <w:rFonts w:ascii="宋体" w:hAnsi="Courier New"/>
      <w:szCs w:val="20"/>
    </w:rPr>
  </w:style>
  <w:style w:type="paragraph" w:styleId="8">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Body Text"/>
    <w:basedOn w:val="1"/>
    <w:next w:val="1"/>
    <w:qFormat/>
    <w:uiPriority w:val="99"/>
    <w:rPr>
      <w:sz w:val="28"/>
      <w:szCs w:val="28"/>
    </w:rPr>
  </w:style>
  <w:style w:type="paragraph" w:styleId="10">
    <w:name w:val="Body Text Indent"/>
    <w:basedOn w:val="1"/>
    <w:next w:val="11"/>
    <w:unhideWhenUsed/>
    <w:qFormat/>
    <w:uiPriority w:val="99"/>
    <w:pPr>
      <w:spacing w:after="120"/>
      <w:ind w:left="420" w:leftChars="200"/>
    </w:pPr>
  </w:style>
  <w:style w:type="paragraph" w:styleId="11">
    <w:name w:val="toc 5"/>
    <w:basedOn w:val="1"/>
    <w:next w:val="1"/>
    <w:semiHidden/>
    <w:qFormat/>
    <w:uiPriority w:val="0"/>
    <w:pPr>
      <w:ind w:left="1120"/>
      <w:jc w:val="left"/>
    </w:pPr>
    <w:rPr>
      <w:sz w:val="18"/>
      <w:szCs w:val="18"/>
    </w:rPr>
  </w:style>
  <w:style w:type="paragraph" w:styleId="12">
    <w:name w:val="Plain Text"/>
    <w:basedOn w:val="1"/>
    <w:qFormat/>
    <w:uiPriority w:val="0"/>
    <w:rPr>
      <w:rFonts w:ascii="宋体" w:hAnsi="Courier New" w:cs="Courier New"/>
      <w:szCs w:val="21"/>
    </w:rPr>
  </w:style>
  <w:style w:type="paragraph" w:styleId="13">
    <w:name w:val="Date"/>
    <w:basedOn w:val="1"/>
    <w:next w:val="1"/>
    <w:link w:val="47"/>
    <w:qFormat/>
    <w:uiPriority w:val="0"/>
    <w:pPr>
      <w:ind w:left="100" w:leftChars="2500"/>
    </w:pPr>
    <w:rPr>
      <w:rFonts w:ascii="Times New Roman" w:hAnsi="Times New Roman"/>
      <w:b/>
      <w:bCs/>
      <w:sz w:val="28"/>
    </w:rPr>
  </w:style>
  <w:style w:type="paragraph" w:styleId="14">
    <w:name w:val="Body Text Indent 2"/>
    <w:basedOn w:val="1"/>
    <w:qFormat/>
    <w:uiPriority w:val="0"/>
    <w:pPr>
      <w:ind w:firstLine="538" w:firstLineChars="192"/>
    </w:pPr>
    <w:rPr>
      <w:rFonts w:ascii="宋体" w:hAnsi="宋体"/>
      <w:sz w:val="28"/>
    </w:rPr>
  </w:style>
  <w:style w:type="paragraph" w:styleId="15">
    <w:name w:val="Balloon Text"/>
    <w:basedOn w:val="1"/>
    <w:link w:val="33"/>
    <w:qFormat/>
    <w:uiPriority w:val="0"/>
    <w:rPr>
      <w:sz w:val="18"/>
      <w:szCs w:val="18"/>
    </w:rPr>
  </w:style>
  <w:style w:type="paragraph" w:styleId="16">
    <w:name w:val="footer"/>
    <w:basedOn w:val="1"/>
    <w:next w:val="17"/>
    <w:qFormat/>
    <w:uiPriority w:val="0"/>
    <w:pPr>
      <w:tabs>
        <w:tab w:val="center" w:pos="4153"/>
        <w:tab w:val="right" w:pos="8306"/>
      </w:tabs>
      <w:snapToGrid w:val="0"/>
    </w:pPr>
    <w:rPr>
      <w:sz w:val="18"/>
      <w:szCs w:val="18"/>
    </w:rPr>
  </w:style>
  <w:style w:type="paragraph" w:styleId="17">
    <w:name w:val="Normal (Web)"/>
    <w:basedOn w:val="1"/>
    <w:next w:val="18"/>
    <w:qFormat/>
    <w:uiPriority w:val="0"/>
    <w:pPr>
      <w:spacing w:before="100" w:beforeAutospacing="1" w:after="100" w:afterAutospacing="1"/>
      <w:jc w:val="left"/>
    </w:pPr>
    <w:rPr>
      <w:kern w:val="0"/>
      <w:sz w:val="24"/>
    </w:rPr>
  </w:style>
  <w:style w:type="paragraph" w:customStyle="1" w:styleId="18">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jc w:val="left"/>
    </w:pPr>
    <w:rPr>
      <w:rFonts w:ascii="宋体"/>
      <w:b/>
      <w:bCs/>
      <w:caps/>
      <w:sz w:val="20"/>
      <w:szCs w:val="20"/>
    </w:rPr>
  </w:style>
  <w:style w:type="paragraph" w:styleId="21">
    <w:name w:val="Body Text Indent 3"/>
    <w:basedOn w:val="1"/>
    <w:qFormat/>
    <w:uiPriority w:val="0"/>
    <w:pPr>
      <w:ind w:firstLine="630"/>
    </w:pPr>
    <w:rPr>
      <w:rFonts w:ascii="Times New Roman" w:hAnsi="Times New Roman" w:eastAsia="仿宋_GB2312"/>
      <w:sz w:val="28"/>
    </w:rPr>
  </w:style>
  <w:style w:type="paragraph" w:styleId="22">
    <w:name w:val="Body Text First Indent"/>
    <w:basedOn w:val="9"/>
    <w:next w:val="1"/>
    <w:qFormat/>
    <w:uiPriority w:val="0"/>
    <w:pPr>
      <w:spacing w:after="120"/>
      <w:ind w:firstLine="420" w:firstLineChars="100"/>
    </w:pPr>
  </w:style>
  <w:style w:type="paragraph" w:styleId="23">
    <w:name w:val="Body Text First Indent 2"/>
    <w:basedOn w:val="10"/>
    <w:next w:val="24"/>
    <w:unhideWhenUsed/>
    <w:qFormat/>
    <w:uiPriority w:val="99"/>
    <w:pPr>
      <w:ind w:firstLine="420" w:firstLineChars="200"/>
    </w:pPr>
  </w:style>
  <w:style w:type="paragraph" w:customStyle="1" w:styleId="24">
    <w:name w:val="正文2"/>
    <w:basedOn w:val="1"/>
    <w:qFormat/>
    <w:uiPriority w:val="0"/>
    <w:pPr>
      <w:spacing w:line="440" w:lineRule="atLeast"/>
      <w:ind w:firstLine="567"/>
    </w:pPr>
    <w:rPr>
      <w:sz w:val="24"/>
      <w:szCs w:val="20"/>
    </w:rPr>
  </w:style>
  <w:style w:type="paragraph" w:customStyle="1" w:styleId="27">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0">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3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批注框文本 字符"/>
    <w:basedOn w:val="26"/>
    <w:link w:val="15"/>
    <w:qFormat/>
    <w:uiPriority w:val="0"/>
    <w:rPr>
      <w:rFonts w:ascii="Calibri" w:hAnsi="Calibri"/>
      <w:kern w:val="2"/>
      <w:sz w:val="18"/>
      <w:szCs w:val="18"/>
    </w:rPr>
  </w:style>
  <w:style w:type="paragraph" w:customStyle="1" w:styleId="34">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5">
    <w:name w:val="表头 Char Char Char"/>
    <w:basedOn w:val="26"/>
    <w:qFormat/>
    <w:uiPriority w:val="0"/>
    <w:rPr>
      <w:rFonts w:ascii="宋体" w:hAnsi="Tahoma" w:eastAsia="宋体"/>
      <w:snapToGrid w:val="0"/>
      <w:spacing w:val="6"/>
      <w:kern w:val="10"/>
      <w:sz w:val="24"/>
    </w:rPr>
  </w:style>
  <w:style w:type="paragraph" w:customStyle="1" w:styleId="36">
    <w:name w:val="表格居中"/>
    <w:basedOn w:val="37"/>
    <w:qFormat/>
    <w:uiPriority w:val="0"/>
    <w:pPr>
      <w:jc w:val="center"/>
    </w:pPr>
  </w:style>
  <w:style w:type="paragraph" w:customStyle="1" w:styleId="37">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8">
    <w:name w:val="伟灿工贸-表格文字"/>
    <w:basedOn w:val="1"/>
    <w:qFormat/>
    <w:uiPriority w:val="0"/>
    <w:pPr>
      <w:jc w:val="center"/>
    </w:pPr>
    <w:rPr>
      <w:rFonts w:hint="eastAsia" w:ascii="宋体" w:hAnsi="宋体" w:cs="宋体"/>
      <w:szCs w:val="21"/>
    </w:rPr>
  </w:style>
  <w:style w:type="paragraph" w:customStyle="1" w:styleId="39">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0">
    <w:name w:val="表名、图名"/>
    <w:basedOn w:val="1"/>
    <w:next w:val="1"/>
    <w:qFormat/>
    <w:uiPriority w:val="0"/>
    <w:pPr>
      <w:jc w:val="center"/>
    </w:pPr>
    <w:rPr>
      <w:b/>
      <w:bCs/>
    </w:rPr>
  </w:style>
  <w:style w:type="paragraph" w:customStyle="1" w:styleId="41">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2">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3">
    <w:name w:val="工艺序号"/>
    <w:basedOn w:val="1"/>
    <w:qFormat/>
    <w:uiPriority w:val="0"/>
    <w:pPr>
      <w:numPr>
        <w:ilvl w:val="0"/>
        <w:numId w:val="1"/>
      </w:numPr>
    </w:pPr>
    <w:rPr>
      <w:b/>
      <w:bCs/>
    </w:rPr>
  </w:style>
  <w:style w:type="paragraph" w:customStyle="1" w:styleId="44">
    <w:name w:val="伟灿-表格文字"/>
    <w:basedOn w:val="1"/>
    <w:qFormat/>
    <w:uiPriority w:val="0"/>
    <w:pPr>
      <w:jc w:val="center"/>
    </w:pPr>
    <w:rPr>
      <w:rFonts w:hint="eastAsia" w:ascii="宋体" w:hAnsi="宋体" w:cs="宋体"/>
      <w:szCs w:val="21"/>
    </w:rPr>
  </w:style>
  <w:style w:type="paragraph" w:styleId="45">
    <w:name w:val="List Paragraph"/>
    <w:basedOn w:val="1"/>
    <w:qFormat/>
    <w:uiPriority w:val="99"/>
    <w:pPr>
      <w:ind w:firstLine="420" w:firstLineChars="200"/>
    </w:pPr>
  </w:style>
  <w:style w:type="paragraph" w:customStyle="1" w:styleId="46">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7">
    <w:name w:val="日期 字符"/>
    <w:basedOn w:val="26"/>
    <w:link w:val="13"/>
    <w:qFormat/>
    <w:uiPriority w:val="0"/>
    <w:rPr>
      <w:b/>
      <w:bCs/>
      <w:kern w:val="2"/>
      <w:sz w:val="28"/>
      <w:szCs w:val="24"/>
    </w:rPr>
  </w:style>
  <w:style w:type="paragraph" w:customStyle="1" w:styleId="48">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1384</Words>
  <Characters>1628</Characters>
  <Lines>8</Lines>
  <Paragraphs>2</Paragraphs>
  <TotalTime>3</TotalTime>
  <ScaleCrop>false</ScaleCrop>
  <LinksUpToDate>false</LinksUpToDate>
  <CharactersWithSpaces>1645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雲灬</cp:lastModifiedBy>
  <dcterms:modified xsi:type="dcterms:W3CDTF">2025-12-12T06:24:10Z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2C91919FAC3F4E3290C5E59A0B504719_13</vt:lpwstr>
  </property>
  <property fmtid="{D5CDD505-2E9C-101B-9397-08002B2CF9AE}" pid="4" name="KSOTemplateDocerSaveRecord">
    <vt:lpwstr>eyJoZGlkIjoiNDUwMTFkMDI3ZjBmZjczM2Q3M2EwOGI5M2VjYzUzMDkiLCJ1c2VySWQiOiIxMDgxMDkzMTYzIn0=</vt:lpwstr>
  </property>
</Properties>
</file>