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中国石化山东泰山石油股份有限公司肥城第</w:t>
            </w:r>
            <w:r>
              <w:rPr>
                <w:rFonts w:hint="eastAsia"/>
                <w:color w:val="000000"/>
                <w:szCs w:val="21"/>
                <w:lang w:val="en-US" w:eastAsia="zh-CN"/>
              </w:rPr>
              <w:t>十三</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该加油站现有埋地储油罐4台，</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92#</w:t>
            </w:r>
            <w:r>
              <w:rPr>
                <w:rFonts w:hint="eastAsia"/>
                <w:color w:val="auto"/>
                <w:lang w:eastAsia="zh-CN"/>
              </w:rPr>
              <w:t>乙醇汽油</w:t>
            </w:r>
            <w:r>
              <w:rPr>
                <w:rFonts w:hint="eastAsia"/>
                <w:color w:val="auto"/>
              </w:rPr>
              <w:t>罐、</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2</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柴油罐</w:t>
            </w:r>
            <w:r>
              <w:rPr>
                <w:rFonts w:hint="eastAsia"/>
                <w:color w:val="auto"/>
                <w:lang w:eastAsia="zh-CN"/>
              </w:rPr>
              <w:t>。</w:t>
            </w:r>
            <w:r>
              <w:rPr>
                <w:rFonts w:hint="eastAsia"/>
                <w:color w:val="auto"/>
                <w:lang w:val="en-US" w:eastAsia="zh-CN"/>
              </w:rPr>
              <w:t>加油站</w:t>
            </w:r>
            <w:r>
              <w:rPr>
                <w:color w:val="auto"/>
              </w:rPr>
              <w:t>设置罩棚一处，</w:t>
            </w:r>
            <w:r>
              <w:rPr>
                <w:rFonts w:hint="eastAsia"/>
                <w:color w:val="auto"/>
              </w:rPr>
              <w:t>罩棚下设置</w:t>
            </w:r>
            <w:r>
              <w:rPr>
                <w:rFonts w:hint="eastAsia" w:ascii="宋体" w:hAnsi="宋体" w:cs="宋体"/>
                <w:bCs/>
                <w:color w:val="auto"/>
                <w:lang w:val="en-US" w:eastAsia="zh-CN"/>
              </w:rPr>
              <w:t>6</w:t>
            </w:r>
            <w:r>
              <w:rPr>
                <w:rFonts w:hint="eastAsia" w:ascii="宋体" w:hAnsi="宋体" w:cs="宋体"/>
                <w:bCs/>
                <w:color w:val="auto"/>
              </w:rPr>
              <w:t>台</w:t>
            </w:r>
            <w:r>
              <w:rPr>
                <w:rFonts w:hint="eastAsia" w:ascii="宋体" w:hAnsi="宋体" w:cs="宋体"/>
                <w:bCs/>
                <w:color w:val="auto"/>
                <w:lang w:val="en-US" w:eastAsia="zh-CN"/>
              </w:rPr>
              <w:t>单油品单</w:t>
            </w:r>
            <w:r>
              <w:rPr>
                <w:rFonts w:hint="eastAsia" w:ascii="宋体" w:hAnsi="宋体" w:cs="宋体"/>
                <w:bCs/>
                <w:color w:val="auto"/>
              </w:rPr>
              <w:t>枪</w:t>
            </w:r>
            <w:r>
              <w:rPr>
                <w:rFonts w:hint="eastAsia" w:ascii="宋体" w:hAnsi="宋体" w:cs="宋体"/>
                <w:bCs/>
                <w:color w:val="auto"/>
                <w:lang w:val="en-US" w:eastAsia="zh-CN"/>
              </w:rPr>
              <w:t>加油机</w:t>
            </w:r>
            <w:r>
              <w:rPr>
                <w:rFonts w:hint="eastAsia" w:ascii="宋体" w:hAnsi="宋体" w:cs="宋体"/>
                <w:bCs/>
                <w:color w:val="auto"/>
                <w:lang w:eastAsia="zh-CN"/>
              </w:rPr>
              <w:t>（</w:t>
            </w:r>
            <w:r>
              <w:rPr>
                <w:rFonts w:hint="eastAsia" w:ascii="宋体" w:hAnsi="宋体" w:cs="宋体"/>
                <w:bCs/>
                <w:color w:val="auto"/>
                <w:lang w:val="en-US" w:eastAsia="zh-CN"/>
              </w:rPr>
              <w:t>2台92#乙醇汽油、2台95#汽油、2台柴油</w:t>
            </w:r>
            <w:r>
              <w:rPr>
                <w:rFonts w:hint="eastAsia" w:ascii="宋体" w:hAnsi="宋体" w:cs="宋体"/>
                <w:bCs/>
                <w:color w:val="auto"/>
                <w:lang w:eastAsia="zh-CN"/>
              </w:rPr>
              <w:t>），</w:t>
            </w:r>
            <w:r>
              <w:rPr>
                <w:rFonts w:hint="eastAsia" w:ascii="宋体" w:hAnsi="宋体" w:cs="宋体"/>
                <w:bCs/>
                <w:color w:val="auto"/>
                <w:lang w:val="en-US" w:eastAsia="zh-CN"/>
              </w:rPr>
              <w:t>1</w:t>
            </w:r>
            <w:r>
              <w:rPr>
                <w:rFonts w:hint="eastAsia" w:ascii="宋体" w:hAnsi="宋体" w:cs="宋体"/>
                <w:bCs/>
                <w:color w:val="auto"/>
              </w:rPr>
              <w:t>台</w:t>
            </w:r>
            <w:r>
              <w:rPr>
                <w:rFonts w:hint="eastAsia" w:ascii="宋体" w:hAnsi="宋体" w:cs="宋体"/>
                <w:bCs/>
                <w:color w:val="auto"/>
                <w:lang w:val="en-US" w:eastAsia="zh-CN"/>
              </w:rPr>
              <w:t>单油品双</w:t>
            </w:r>
            <w:r>
              <w:rPr>
                <w:rFonts w:hint="eastAsia" w:ascii="宋体" w:hAnsi="宋体" w:cs="宋体"/>
                <w:bCs/>
                <w:color w:val="auto"/>
              </w:rPr>
              <w:t>枪</w:t>
            </w:r>
            <w:r>
              <w:rPr>
                <w:rFonts w:hint="eastAsia" w:ascii="宋体" w:hAnsi="宋体" w:cs="宋体"/>
                <w:bCs/>
                <w:color w:val="auto"/>
                <w:lang w:val="en-US" w:eastAsia="zh-CN"/>
              </w:rPr>
              <w:t>加油机</w:t>
            </w:r>
            <w:r>
              <w:rPr>
                <w:rFonts w:hint="eastAsia" w:ascii="宋体" w:hAnsi="宋体" w:cs="宋体"/>
                <w:bCs/>
                <w:color w:val="auto"/>
                <w:lang w:eastAsia="zh-CN"/>
              </w:rPr>
              <w:t>（</w:t>
            </w:r>
            <w:r>
              <w:rPr>
                <w:rFonts w:hint="eastAsia" w:ascii="宋体" w:hAnsi="宋体" w:cs="宋体"/>
                <w:bCs/>
                <w:color w:val="auto"/>
                <w:lang w:val="en-US" w:eastAsia="zh-CN"/>
              </w:rPr>
              <w:t>柴油</w:t>
            </w:r>
            <w:r>
              <w:rPr>
                <w:rFonts w:hint="eastAsia" w:ascii="宋体" w:hAnsi="宋体" w:cs="宋体"/>
                <w:bCs/>
                <w:color w:val="auto"/>
                <w:lang w:eastAsia="zh-CN"/>
              </w:rPr>
              <w:t>），</w:t>
            </w:r>
            <w:r>
              <w:rPr>
                <w:rFonts w:hint="eastAsia" w:ascii="宋体" w:hAnsi="宋体" w:cs="宋体"/>
                <w:bCs/>
                <w:color w:val="auto"/>
                <w:lang w:val="en-US" w:eastAsia="zh-CN"/>
              </w:rPr>
              <w:t>1台撬装尿素溶液加注装置</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2024.12.4</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2024.12.6</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安全评价报告提交时间：2024.12.26</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r>
        <w:rPr>
          <w:rFonts w:hint="default" w:ascii="宋体"/>
          <w:color w:val="auto"/>
          <w:kern w:val="0"/>
          <w:sz w:val="28"/>
          <w:szCs w:val="20"/>
          <w:lang w:val="en-US" w:eastAsia="zh-CN"/>
        </w:rPr>
        <w:br w:type="page"/>
      </w:r>
      <w:bookmarkStart w:id="0" w:name="_Toc15033742"/>
      <w:bookmarkStart w:id="1" w:name="_Toc102633895"/>
      <w:bookmarkStart w:id="2" w:name="_Toc102634395"/>
      <w:bookmarkStart w:id="3" w:name="_Toc8295"/>
      <w:bookmarkStart w:id="4" w:name="_Toc102634226"/>
      <w:bookmarkStart w:id="5" w:name="_Toc102633969"/>
      <w:r>
        <w:rPr>
          <w:rFonts w:hint="eastAsia"/>
          <w:color w:val="auto"/>
        </w:rPr>
        <w:t>第二章 加油站概况</w:t>
      </w:r>
      <w:bookmarkEnd w:id="0"/>
      <w:bookmarkEnd w:id="1"/>
      <w:bookmarkEnd w:id="2"/>
      <w:bookmarkEnd w:id="3"/>
      <w:bookmarkEnd w:id="4"/>
      <w:bookmarkEnd w:id="5"/>
    </w:p>
    <w:p w14:paraId="75DFB68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6" w:name="_Toc102634227"/>
      <w:bookmarkStart w:id="7" w:name="_Toc13779"/>
      <w:bookmarkStart w:id="8" w:name="_Toc30066"/>
      <w:bookmarkStart w:id="9" w:name="_Toc26504"/>
      <w:bookmarkStart w:id="10" w:name="_Toc102634396"/>
      <w:bookmarkStart w:id="11" w:name="_Toc272364524"/>
      <w:bookmarkStart w:id="12" w:name="_Toc102633970"/>
      <w:bookmarkStart w:id="13" w:name="_Toc102633896"/>
      <w:bookmarkStart w:id="14" w:name="_Toc208733856"/>
      <w:bookmarkStart w:id="15" w:name="_Toc15033743"/>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0957CBF7">
      <w:pPr>
        <w:keepLines w:val="0"/>
        <w:wordWrap/>
        <w:overflowPunct/>
        <w:topLinePunct w:val="0"/>
        <w:bidi w:val="0"/>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肥城第十三加油站</w:t>
      </w:r>
      <w:r>
        <w:rPr>
          <w:rFonts w:hint="eastAsia" w:ascii="宋体" w:hAnsi="宋体"/>
          <w:color w:val="auto"/>
          <w:sz w:val="28"/>
          <w:szCs w:val="28"/>
        </w:rPr>
        <w:t>位于</w:t>
      </w:r>
      <w:r>
        <w:rPr>
          <w:rFonts w:hint="eastAsia" w:ascii="宋体" w:hAnsi="宋体"/>
          <w:color w:val="auto"/>
          <w:sz w:val="28"/>
          <w:lang w:eastAsia="zh-CN"/>
        </w:rPr>
        <w:t>肥城老城镇火车站西200米处济</w:t>
      </w:r>
      <w:r>
        <w:rPr>
          <w:rFonts w:hint="eastAsia" w:ascii="宋体" w:hAnsi="宋体"/>
          <w:color w:val="auto"/>
          <w:sz w:val="28"/>
          <w:lang w:val="en-US" w:eastAsia="zh-CN"/>
        </w:rPr>
        <w:t>兖</w:t>
      </w:r>
      <w:r>
        <w:rPr>
          <w:rFonts w:hint="eastAsia" w:ascii="宋体" w:hAnsi="宋体"/>
          <w:color w:val="auto"/>
          <w:sz w:val="28"/>
          <w:lang w:eastAsia="zh-CN"/>
        </w:rPr>
        <w:t>路西侧</w:t>
      </w:r>
      <w:r>
        <w:rPr>
          <w:rFonts w:hint="eastAsia" w:ascii="宋体" w:hAnsi="宋体"/>
          <w:color w:val="auto"/>
          <w:sz w:val="28"/>
        </w:rPr>
        <w:t>，</w:t>
      </w:r>
      <w:r>
        <w:rPr>
          <w:rFonts w:hint="eastAsia" w:ascii="宋体" w:hAnsi="宋体" w:cs="宋体"/>
          <w:color w:val="auto"/>
          <w:sz w:val="28"/>
          <w:szCs w:val="28"/>
          <w:lang w:eastAsia="zh-CN"/>
        </w:rPr>
        <w:t>加油站</w:t>
      </w:r>
      <w:r>
        <w:rPr>
          <w:rFonts w:hint="eastAsia" w:ascii="宋体" w:hAnsi="宋体" w:cs="宋体"/>
          <w:color w:val="auto"/>
          <w:sz w:val="28"/>
          <w:szCs w:val="28"/>
          <w:lang w:val="en-US" w:eastAsia="zh-CN"/>
        </w:rPr>
        <w:t>北</w:t>
      </w:r>
      <w:r>
        <w:rPr>
          <w:rFonts w:hint="eastAsia" w:ascii="宋体" w:hAnsi="宋体" w:cs="宋体"/>
          <w:color w:val="auto"/>
          <w:sz w:val="28"/>
          <w:szCs w:val="28"/>
          <w:lang w:eastAsia="zh-CN"/>
        </w:rPr>
        <w:t>侧是</w:t>
      </w:r>
      <w:r>
        <w:rPr>
          <w:rFonts w:hint="eastAsia" w:ascii="宋体" w:hAnsi="宋体" w:cs="宋体"/>
          <w:color w:val="auto"/>
          <w:sz w:val="28"/>
          <w:szCs w:val="28"/>
          <w:lang w:val="en-US" w:eastAsia="zh-CN"/>
        </w:rPr>
        <w:t>沿街房，</w:t>
      </w:r>
      <w:r>
        <w:rPr>
          <w:rFonts w:hint="eastAsia" w:ascii="宋体" w:hAnsi="宋体" w:cs="宋体"/>
          <w:color w:val="auto"/>
          <w:sz w:val="28"/>
          <w:szCs w:val="28"/>
          <w:lang w:eastAsia="zh-CN"/>
        </w:rPr>
        <w:t>东侧是</w:t>
      </w:r>
      <w:r>
        <w:rPr>
          <w:rFonts w:hint="eastAsia" w:ascii="宋体" w:hAnsi="宋体" w:cs="宋体"/>
          <w:color w:val="auto"/>
          <w:sz w:val="28"/>
          <w:szCs w:val="28"/>
          <w:lang w:val="en-US" w:eastAsia="zh-CN"/>
        </w:rPr>
        <w:t>泰西大街（原名</w:t>
      </w:r>
      <w:r>
        <w:rPr>
          <w:rFonts w:hint="eastAsia" w:ascii="宋体" w:hAnsi="宋体"/>
          <w:color w:val="auto"/>
          <w:sz w:val="28"/>
          <w:lang w:eastAsia="zh-CN"/>
        </w:rPr>
        <w:t>济</w:t>
      </w:r>
      <w:r>
        <w:rPr>
          <w:rFonts w:hint="eastAsia" w:ascii="宋体" w:hAnsi="宋体"/>
          <w:color w:val="auto"/>
          <w:sz w:val="28"/>
          <w:lang w:val="en-US" w:eastAsia="zh-CN"/>
        </w:rPr>
        <w:t>兖</w:t>
      </w:r>
      <w:r>
        <w:rPr>
          <w:rFonts w:hint="eastAsia" w:ascii="宋体" w:hAnsi="宋体"/>
          <w:color w:val="auto"/>
          <w:sz w:val="28"/>
          <w:lang w:eastAsia="zh-CN"/>
        </w:rPr>
        <w:t>路</w:t>
      </w:r>
      <w:r>
        <w:rPr>
          <w:rFonts w:hint="eastAsia" w:ascii="宋体" w:hAnsi="宋体" w:cs="宋体"/>
          <w:color w:val="auto"/>
          <w:sz w:val="28"/>
          <w:szCs w:val="28"/>
          <w:lang w:val="en-US" w:eastAsia="zh-CN"/>
        </w:rPr>
        <w:t>）</w:t>
      </w:r>
      <w:r>
        <w:rPr>
          <w:rFonts w:hint="eastAsia" w:ascii="宋体" w:hAnsi="宋体" w:cs="宋体"/>
          <w:color w:val="auto"/>
          <w:sz w:val="28"/>
          <w:szCs w:val="28"/>
          <w:lang w:eastAsia="zh-CN"/>
        </w:rPr>
        <w:t>，西侧是</w:t>
      </w:r>
      <w:r>
        <w:rPr>
          <w:rFonts w:hint="eastAsia" w:ascii="宋体" w:hAnsi="宋体" w:cs="宋体"/>
          <w:color w:val="auto"/>
          <w:sz w:val="28"/>
          <w:szCs w:val="28"/>
          <w:lang w:val="en-US" w:eastAsia="zh-CN"/>
        </w:rPr>
        <w:t>民房</w:t>
      </w:r>
      <w:r>
        <w:rPr>
          <w:rFonts w:hint="eastAsia" w:ascii="宋体" w:hAnsi="宋体" w:cs="宋体"/>
          <w:color w:val="auto"/>
          <w:sz w:val="28"/>
          <w:szCs w:val="28"/>
          <w:lang w:eastAsia="zh-CN"/>
        </w:rPr>
        <w:t>，南侧是</w:t>
      </w:r>
      <w:r>
        <w:rPr>
          <w:rFonts w:hint="eastAsia" w:ascii="宋体" w:hAnsi="宋体" w:cs="宋体"/>
          <w:color w:val="auto"/>
          <w:sz w:val="28"/>
          <w:szCs w:val="28"/>
          <w:lang w:val="en-US" w:eastAsia="zh-CN"/>
        </w:rPr>
        <w:t>综合楼，西北侧是山东新合作商贸连锁有限公司配送中心</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color w:val="auto"/>
          <w:sz w:val="28"/>
          <w:lang w:eastAsia="zh-CN"/>
        </w:rPr>
        <w:t>、乙醇汽油</w:t>
      </w:r>
      <w:r>
        <w:rPr>
          <w:rFonts w:hint="eastAsia" w:ascii="宋体" w:hAnsi="宋体"/>
          <w:snapToGrid w:val="0"/>
          <w:color w:val="auto"/>
          <w:kern w:val="0"/>
          <w:sz w:val="28"/>
        </w:rPr>
        <w:t>。</w:t>
      </w:r>
      <w:r>
        <w:rPr>
          <w:rFonts w:hint="eastAsia" w:ascii="宋体" w:hAnsi="宋体"/>
          <w:color w:val="auto"/>
          <w:sz w:val="28"/>
        </w:rPr>
        <w:t>此次现状评价报告与</w:t>
      </w:r>
      <w:r>
        <w:rPr>
          <w:rFonts w:hint="eastAsia" w:ascii="宋体" w:hAnsi="宋体"/>
          <w:color w:val="auto"/>
          <w:sz w:val="28"/>
          <w:lang w:val="en-US" w:eastAsia="zh-CN"/>
        </w:rPr>
        <w:t>上次</w:t>
      </w:r>
      <w:r>
        <w:rPr>
          <w:rFonts w:hint="eastAsia" w:ascii="宋体" w:hAnsi="宋体"/>
          <w:color w:val="auto"/>
          <w:sz w:val="28"/>
        </w:rPr>
        <w:t>报告相比，</w:t>
      </w:r>
      <w:r>
        <w:rPr>
          <w:rFonts w:hint="eastAsia" w:ascii="宋体" w:hAnsi="宋体" w:eastAsia="宋体" w:cs="Times New Roman"/>
          <w:color w:val="auto"/>
          <w:sz w:val="28"/>
          <w:lang w:val="en-US" w:eastAsia="zh-CN"/>
        </w:rPr>
        <w:t>加油区新增可燃气体探测器2套、重新启用撬装尿素溶液加注装置1台，其余</w:t>
      </w:r>
      <w:r>
        <w:rPr>
          <w:rFonts w:hint="eastAsia" w:ascii="宋体" w:hAnsi="宋体" w:eastAsia="宋体" w:cs="Times New Roman"/>
          <w:color w:val="auto"/>
          <w:sz w:val="28"/>
        </w:rPr>
        <w:t>周</w:t>
      </w:r>
      <w:r>
        <w:rPr>
          <w:rFonts w:hint="eastAsia" w:ascii="宋体" w:hAnsi="宋体"/>
          <w:color w:val="auto"/>
          <w:sz w:val="28"/>
        </w:rPr>
        <w:t>边环境、站内设备设施、主要建构筑物未发生变化。</w:t>
      </w:r>
    </w:p>
    <w:p w14:paraId="10A5C1EE">
      <w:pPr>
        <w:pStyle w:val="17"/>
        <w:keepLines w:val="0"/>
        <w:widowControl w:val="0"/>
        <w:wordWrap/>
        <w:overflowPunct/>
        <w:topLinePunct w:val="0"/>
        <w:bidi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东</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cs="宋体"/>
          <w:bCs/>
          <w:color w:val="auto"/>
          <w:lang w:val="en-US" w:eastAsia="zh-CN"/>
        </w:rPr>
        <w:t>6</w:t>
      </w:r>
      <w:r>
        <w:rPr>
          <w:rFonts w:hint="eastAsia" w:ascii="宋体" w:hAnsi="宋体" w:cs="宋体"/>
          <w:bCs/>
          <w:color w:val="auto"/>
        </w:rPr>
        <w:t>台</w:t>
      </w:r>
      <w:r>
        <w:rPr>
          <w:rFonts w:hint="eastAsia" w:ascii="宋体" w:hAnsi="宋体" w:cs="宋体"/>
          <w:bCs/>
          <w:color w:val="auto"/>
          <w:lang w:val="en-US" w:eastAsia="zh-CN"/>
        </w:rPr>
        <w:t>单油品单</w:t>
      </w:r>
      <w:r>
        <w:rPr>
          <w:rFonts w:hint="eastAsia" w:ascii="宋体" w:hAnsi="宋体" w:cs="宋体"/>
          <w:bCs/>
          <w:color w:val="auto"/>
        </w:rPr>
        <w:t>枪</w:t>
      </w:r>
      <w:r>
        <w:rPr>
          <w:rFonts w:hint="eastAsia" w:ascii="宋体" w:hAnsi="宋体" w:cs="宋体"/>
          <w:bCs/>
          <w:color w:val="auto"/>
          <w:lang w:val="en-US" w:eastAsia="zh-CN"/>
        </w:rPr>
        <w:t>加油机</w:t>
      </w:r>
      <w:r>
        <w:rPr>
          <w:rFonts w:hint="eastAsia" w:ascii="宋体" w:hAnsi="宋体" w:cs="宋体"/>
          <w:bCs/>
          <w:color w:val="auto"/>
          <w:lang w:eastAsia="zh-CN"/>
        </w:rPr>
        <w:t>（</w:t>
      </w:r>
      <w:r>
        <w:rPr>
          <w:rFonts w:hint="eastAsia" w:ascii="宋体" w:hAnsi="宋体" w:cs="宋体"/>
          <w:bCs/>
          <w:color w:val="auto"/>
          <w:lang w:val="en-US" w:eastAsia="zh-CN"/>
        </w:rPr>
        <w:t>2台92#乙醇汽油、2台95#汽油、2台柴油</w:t>
      </w:r>
      <w:r>
        <w:rPr>
          <w:rFonts w:hint="eastAsia" w:ascii="宋体" w:hAnsi="宋体" w:cs="宋体"/>
          <w:bCs/>
          <w:color w:val="auto"/>
          <w:lang w:eastAsia="zh-CN"/>
        </w:rPr>
        <w:t>），</w:t>
      </w:r>
      <w:r>
        <w:rPr>
          <w:rFonts w:hint="eastAsia" w:ascii="宋体" w:hAnsi="宋体" w:cs="宋体"/>
          <w:bCs/>
          <w:color w:val="auto"/>
          <w:lang w:val="en-US" w:eastAsia="zh-CN"/>
        </w:rPr>
        <w:t>1</w:t>
      </w:r>
      <w:r>
        <w:rPr>
          <w:rFonts w:hint="eastAsia" w:ascii="宋体" w:hAnsi="宋体" w:cs="宋体"/>
          <w:bCs/>
          <w:color w:val="auto"/>
        </w:rPr>
        <w:t>台</w:t>
      </w:r>
      <w:r>
        <w:rPr>
          <w:rFonts w:hint="eastAsia" w:ascii="宋体" w:hAnsi="宋体" w:cs="宋体"/>
          <w:bCs/>
          <w:color w:val="auto"/>
          <w:lang w:val="en-US" w:eastAsia="zh-CN"/>
        </w:rPr>
        <w:t>单油品双</w:t>
      </w:r>
      <w:r>
        <w:rPr>
          <w:rFonts w:hint="eastAsia" w:ascii="宋体" w:hAnsi="宋体" w:cs="宋体"/>
          <w:bCs/>
          <w:color w:val="auto"/>
        </w:rPr>
        <w:t>枪</w:t>
      </w:r>
      <w:r>
        <w:rPr>
          <w:rFonts w:hint="eastAsia" w:ascii="宋体" w:hAnsi="宋体" w:cs="宋体"/>
          <w:bCs/>
          <w:color w:val="auto"/>
          <w:lang w:val="en-US" w:eastAsia="zh-CN"/>
        </w:rPr>
        <w:t>加油机</w:t>
      </w:r>
      <w:r>
        <w:rPr>
          <w:rFonts w:hint="eastAsia" w:ascii="宋体" w:hAnsi="宋体" w:cs="宋体"/>
          <w:bCs/>
          <w:color w:val="auto"/>
          <w:lang w:eastAsia="zh-CN"/>
        </w:rPr>
        <w:t>（</w:t>
      </w:r>
      <w:r>
        <w:rPr>
          <w:rFonts w:hint="eastAsia" w:ascii="宋体" w:hAnsi="宋体" w:cs="宋体"/>
          <w:bCs/>
          <w:color w:val="auto"/>
          <w:lang w:val="en-US" w:eastAsia="zh-CN"/>
        </w:rPr>
        <w:t>柴油</w:t>
      </w:r>
      <w:r>
        <w:rPr>
          <w:rFonts w:hint="eastAsia" w:ascii="宋体" w:hAnsi="宋体" w:cs="宋体"/>
          <w:bCs/>
          <w:color w:val="auto"/>
          <w:lang w:eastAsia="zh-CN"/>
        </w:rPr>
        <w:t>），</w:t>
      </w:r>
      <w:r>
        <w:rPr>
          <w:rFonts w:hint="eastAsia" w:ascii="宋体" w:hAnsi="宋体"/>
          <w:color w:val="auto"/>
          <w:kern w:val="2"/>
          <w:szCs w:val="21"/>
        </w:rPr>
        <w:t>均为</w:t>
      </w:r>
      <w:r>
        <w:rPr>
          <w:rFonts w:hint="eastAsia" w:ascii="宋体" w:hAnsi="宋体"/>
          <w:color w:val="auto"/>
          <w:kern w:val="2"/>
          <w:szCs w:val="21"/>
          <w:lang w:val="en-US" w:eastAsia="zh-CN"/>
        </w:rPr>
        <w:t>潜油泵式</w:t>
      </w:r>
      <w:r>
        <w:rPr>
          <w:rFonts w:hint="eastAsia" w:ascii="宋体" w:hAnsi="宋体"/>
          <w:color w:val="auto"/>
          <w:kern w:val="2"/>
          <w:szCs w:val="21"/>
          <w:lang w:eastAsia="zh-CN"/>
        </w:rPr>
        <w:t>，</w:t>
      </w:r>
      <w:r>
        <w:rPr>
          <w:rFonts w:hint="eastAsia" w:ascii="宋体" w:hAnsi="宋体" w:cs="宋体"/>
          <w:bCs/>
          <w:color w:val="auto"/>
          <w:lang w:val="en-US" w:eastAsia="zh-CN"/>
        </w:rPr>
        <w:t>1台撬装尿素溶液加注装置</w:t>
      </w:r>
      <w:r>
        <w:rPr>
          <w:rFonts w:hint="eastAsia" w:ascii="宋体"/>
          <w:color w:val="auto"/>
        </w:rPr>
        <w:t>；</w:t>
      </w:r>
      <w:r>
        <w:rPr>
          <w:rFonts w:hint="eastAsia" w:ascii="宋体" w:hAnsi="宋体"/>
          <w:color w:val="auto"/>
          <w:szCs w:val="28"/>
        </w:rPr>
        <w:t>油罐区位于</w:t>
      </w:r>
      <w:r>
        <w:rPr>
          <w:rFonts w:hint="eastAsia" w:ascii="宋体" w:hAnsi="宋体"/>
          <w:color w:val="auto"/>
          <w:szCs w:val="28"/>
          <w:lang w:val="en-US" w:eastAsia="zh-CN"/>
        </w:rPr>
        <w:t>加油区南</w:t>
      </w:r>
      <w:r>
        <w:rPr>
          <w:rFonts w:hint="eastAsia" w:ascii="宋体" w:hAnsi="宋体"/>
          <w:color w:val="auto"/>
          <w:szCs w:val="28"/>
        </w:rPr>
        <w:t>侧，</w:t>
      </w:r>
      <w:r>
        <w:rPr>
          <w:rFonts w:hint="eastAsia" w:ascii="宋体"/>
          <w:color w:val="auto"/>
        </w:rPr>
        <w:t>现有</w:t>
      </w:r>
      <w:r>
        <w:rPr>
          <w:rFonts w:hint="eastAsia" w:ascii="宋体"/>
          <w:color w:val="auto"/>
          <w:lang w:val="en-US" w:eastAsia="zh-CN"/>
        </w:rPr>
        <w:t>4</w:t>
      </w:r>
      <w:r>
        <w:rPr>
          <w:rFonts w:hint="eastAsia" w:ascii="宋体"/>
          <w:color w:val="auto"/>
        </w:rPr>
        <w:t>台</w:t>
      </w:r>
      <w:r>
        <w:rPr>
          <w:rFonts w:hint="eastAsia" w:ascii="宋体"/>
          <w:color w:val="auto"/>
          <w:lang w:val="en-US" w:eastAsia="zh-CN"/>
        </w:rPr>
        <w:t>3</w:t>
      </w:r>
      <w:r>
        <w:rPr>
          <w:rFonts w:hint="eastAsia" w:ascii="宋体"/>
          <w:color w:val="auto"/>
        </w:rPr>
        <w:t>0m³埋地双层储罐（1台92#</w:t>
      </w:r>
      <w:r>
        <w:rPr>
          <w:rFonts w:hint="eastAsia" w:ascii="宋体"/>
          <w:color w:val="auto"/>
          <w:lang w:val="en-US" w:eastAsia="zh-CN"/>
        </w:rPr>
        <w:t>乙醇</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罐、2</w:t>
      </w:r>
      <w:r>
        <w:rPr>
          <w:rFonts w:hint="eastAsia" w:ascii="宋体"/>
          <w:color w:val="auto"/>
        </w:rPr>
        <w:t>台柴油罐），</w:t>
      </w:r>
      <w:r>
        <w:rPr>
          <w:rFonts w:hint="eastAsia" w:ascii="宋体" w:hAnsi="宋体"/>
          <w:color w:val="auto"/>
          <w:szCs w:val="28"/>
          <w:lang w:val="en-US" w:eastAsia="zh-CN"/>
        </w:rPr>
        <w:t>4</w:t>
      </w:r>
      <w:r>
        <w:rPr>
          <w:rFonts w:hint="eastAsia" w:ascii="宋体" w:hAnsi="宋体"/>
          <w:color w:val="auto"/>
          <w:szCs w:val="28"/>
        </w:rPr>
        <w:t>台油罐均安装了液位仪、检漏仪</w:t>
      </w:r>
      <w:r>
        <w:rPr>
          <w:rFonts w:hint="eastAsia" w:ascii="宋体"/>
          <w:color w:val="auto"/>
        </w:rPr>
        <w:t>；</w:t>
      </w:r>
      <w:r>
        <w:rPr>
          <w:rFonts w:hint="eastAsia" w:ascii="宋体"/>
          <w:color w:val="auto"/>
          <w:lang w:eastAsia="zh-CN"/>
        </w:rPr>
        <w:t>汽油、</w:t>
      </w:r>
      <w:r>
        <w:rPr>
          <w:rFonts w:hint="eastAsia" w:ascii="宋体"/>
          <w:color w:val="auto"/>
        </w:rPr>
        <w:t>柴油卸油口位于罐区</w:t>
      </w:r>
      <w:r>
        <w:rPr>
          <w:rFonts w:hint="eastAsia" w:ascii="宋体"/>
          <w:color w:val="auto"/>
          <w:lang w:val="en-US" w:eastAsia="zh-CN"/>
        </w:rPr>
        <w:t>西</w:t>
      </w:r>
      <w:r>
        <w:rPr>
          <w:rFonts w:hint="eastAsia" w:ascii="宋体"/>
          <w:color w:val="auto"/>
        </w:rPr>
        <w:t>侧；</w:t>
      </w:r>
      <w:r>
        <w:rPr>
          <w:rFonts w:hint="eastAsia" w:ascii="宋体" w:hAnsi="宋体"/>
          <w:color w:val="auto"/>
          <w:szCs w:val="28"/>
        </w:rPr>
        <w:t>通气管</w:t>
      </w:r>
      <w:r>
        <w:rPr>
          <w:rFonts w:hint="eastAsia" w:ascii="宋体" w:hAnsi="宋体"/>
          <w:color w:val="auto"/>
          <w:szCs w:val="28"/>
          <w:lang w:val="en-US" w:eastAsia="zh-CN"/>
        </w:rPr>
        <w:t>5</w:t>
      </w:r>
      <w:r>
        <w:rPr>
          <w:rFonts w:hint="eastAsia" w:ascii="宋体" w:hAnsi="宋体"/>
          <w:color w:val="auto"/>
          <w:szCs w:val="28"/>
        </w:rPr>
        <w:t>根</w:t>
      </w:r>
      <w:r>
        <w:rPr>
          <w:rFonts w:hint="eastAsia" w:ascii="宋体" w:hAnsi="宋体"/>
          <w:color w:val="auto"/>
          <w:szCs w:val="28"/>
          <w:lang w:val="en-US" w:eastAsia="zh-CN"/>
        </w:rPr>
        <w:t>位于罐区内</w:t>
      </w:r>
      <w:r>
        <w:rPr>
          <w:rFonts w:hint="eastAsia" w:ascii="宋体" w:hAnsi="宋体"/>
          <w:color w:val="auto"/>
          <w:szCs w:val="28"/>
        </w:rPr>
        <w:t>，该站设有卸油油气回收系统、加油油气回收系统</w:t>
      </w:r>
      <w:r>
        <w:rPr>
          <w:rFonts w:hint="eastAsia" w:ascii="宋体" w:hAnsi="宋体"/>
          <w:color w:val="auto"/>
          <w:szCs w:val="28"/>
          <w:lang w:eastAsia="zh-CN"/>
        </w:rPr>
        <w:t>、</w:t>
      </w:r>
      <w:r>
        <w:rPr>
          <w:rFonts w:hint="eastAsia" w:ascii="宋体" w:hAnsi="宋体"/>
          <w:color w:val="auto"/>
          <w:szCs w:val="28"/>
          <w:lang w:val="en-US" w:eastAsia="zh-CN"/>
        </w:rPr>
        <w:t>预留油气回收处理系统排气管</w:t>
      </w:r>
      <w:r>
        <w:rPr>
          <w:rFonts w:hint="eastAsia" w:ascii="宋体" w:hAnsi="宋体"/>
          <w:color w:val="auto"/>
          <w:szCs w:val="28"/>
        </w:rPr>
        <w:t>；</w:t>
      </w:r>
      <w:r>
        <w:rPr>
          <w:rFonts w:hint="eastAsia" w:ascii="宋体"/>
          <w:color w:val="auto"/>
        </w:rPr>
        <w:t>按《汽车加油加气加氢站技术标准》GB50156-2021标准规定：油罐总储量为</w:t>
      </w:r>
      <w:r>
        <w:rPr>
          <w:rFonts w:hint="eastAsia" w:ascii="宋体"/>
          <w:color w:val="auto"/>
          <w:lang w:val="en-US" w:eastAsia="zh-CN"/>
        </w:rPr>
        <w:t>120</w:t>
      </w:r>
      <w:r>
        <w:rPr>
          <w:rFonts w:hint="eastAsia" w:ascii="宋体"/>
          <w:color w:val="auto"/>
        </w:rPr>
        <w:t>m³，柴油储罐容积折半计入总容积为</w:t>
      </w:r>
      <w:r>
        <w:rPr>
          <w:rFonts w:hint="eastAsia" w:ascii="宋体"/>
          <w:color w:val="auto"/>
          <w:lang w:val="en-US" w:eastAsia="zh-CN"/>
        </w:rPr>
        <w:t>90</w:t>
      </w:r>
      <w:r>
        <w:rPr>
          <w:rFonts w:hint="eastAsia" w:ascii="宋体"/>
          <w:color w:val="auto"/>
        </w:rPr>
        <w:t>m³，该站属</w:t>
      </w:r>
      <w:r>
        <w:rPr>
          <w:rFonts w:hint="eastAsia" w:ascii="宋体"/>
          <w:color w:val="auto"/>
          <w:lang w:val="en-US" w:eastAsia="zh-CN"/>
        </w:rPr>
        <w:t>三</w:t>
      </w:r>
      <w:r>
        <w:rPr>
          <w:rFonts w:hint="eastAsia" w:ascii="宋体"/>
          <w:color w:val="auto"/>
        </w:rPr>
        <w:t>级加油站。</w:t>
      </w:r>
    </w:p>
    <w:p w14:paraId="6B8D41BA">
      <w:pPr>
        <w:pStyle w:val="19"/>
        <w:keepLines w:val="0"/>
        <w:widowControl w:val="0"/>
        <w:wordWrap/>
        <w:overflowPunct/>
        <w:topLinePunct w:val="0"/>
        <w:bidi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662" w:type="pct"/>
            <w:vMerge w:val="restart"/>
            <w:vAlign w:val="center"/>
          </w:tcPr>
          <w:p w14:paraId="6F4B13BD">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291ED40">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keepLines w:val="0"/>
              <w:widowControl w:val="0"/>
              <w:wordWrap/>
              <w:overflowPunct/>
              <w:topLinePunct w:val="0"/>
              <w:bidi w:val="0"/>
              <w:adjustRightInd w:val="0"/>
              <w:snapToGrid w:val="0"/>
              <w:spacing w:line="360" w:lineRule="auto"/>
              <w:rPr>
                <w:rFonts w:ascii="宋体" w:hAnsi="宋体"/>
                <w:b/>
                <w:bCs/>
                <w:color w:val="auto"/>
              </w:rPr>
            </w:pPr>
          </w:p>
        </w:tc>
        <w:tc>
          <w:tcPr>
            <w:tcW w:w="1667" w:type="pct"/>
            <w:vAlign w:val="center"/>
          </w:tcPr>
          <w:p w14:paraId="516410CE">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43EEE57">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341C103B">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1C4F7931">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4FCFAA32">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474A02A9">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6374CBBE">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5FEAD7B5">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4B0BE48B">
      <w:pPr>
        <w:pStyle w:val="21"/>
        <w:keepLines w:val="0"/>
        <w:widowControl w:val="0"/>
        <w:wordWrap/>
        <w:overflowPunct/>
        <w:topLinePunct w:val="0"/>
        <w:bidi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4</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Times New Roman" w:eastAsia="宋体" w:cs="Times New Roman"/>
          <w:color w:val="auto"/>
          <w:kern w:val="2"/>
          <w:sz w:val="28"/>
          <w:szCs w:val="20"/>
          <w:u w:color="000000"/>
          <w:lang w:val="en-US" w:eastAsia="zh-CN" w:bidi="ar-SA"/>
        </w:rPr>
      </w:pPr>
      <w:r>
        <w:rPr>
          <w:rFonts w:hint="eastAsia" w:ascii="宋体" w:hAnsi="Times New Roman" w:eastAsia="宋体" w:cs="Times New Roman"/>
          <w:color w:val="auto"/>
          <w:kern w:val="2"/>
          <w:sz w:val="28"/>
          <w:szCs w:val="20"/>
          <w:u w:color="000000"/>
          <w:lang w:val="en-US" w:eastAsia="zh-CN" w:bidi="ar-SA"/>
        </w:rPr>
        <w:t>中国石化山东泰山石油股份有限公司</w:t>
      </w:r>
      <w:r>
        <w:rPr>
          <w:rFonts w:hint="eastAsia" w:ascii="宋体" w:cs="Times New Roman"/>
          <w:color w:val="auto"/>
          <w:kern w:val="2"/>
          <w:sz w:val="28"/>
          <w:szCs w:val="20"/>
          <w:u w:color="000000"/>
          <w:lang w:val="en-US" w:eastAsia="zh-CN" w:bidi="ar-SA"/>
        </w:rPr>
        <w:t>与山东泰山新合作商贸连锁有限公司签订了</w:t>
      </w:r>
      <w:r>
        <w:rPr>
          <w:rFonts w:hint="eastAsia" w:ascii="宋体" w:hAnsi="Times New Roman" w:eastAsia="宋体" w:cs="Times New Roman"/>
          <w:color w:val="auto"/>
          <w:kern w:val="2"/>
          <w:sz w:val="28"/>
          <w:szCs w:val="20"/>
          <w:u w:color="000000"/>
          <w:lang w:val="en-US" w:eastAsia="zh-CN" w:bidi="ar-SA"/>
        </w:rPr>
        <w:t>《</w:t>
      </w:r>
      <w:r>
        <w:rPr>
          <w:rFonts w:hint="eastAsia" w:ascii="宋体" w:cs="Times New Roman"/>
          <w:color w:val="auto"/>
          <w:kern w:val="2"/>
          <w:sz w:val="28"/>
          <w:szCs w:val="20"/>
          <w:u w:color="000000"/>
          <w:lang w:val="en-US" w:eastAsia="zh-CN" w:bidi="ar-SA"/>
        </w:rPr>
        <w:t>房屋及场地租赁合同</w:t>
      </w:r>
      <w:r>
        <w:rPr>
          <w:rFonts w:hint="eastAsia" w:ascii="宋体" w:hAnsi="Times New Roman" w:eastAsia="宋体" w:cs="Times New Roman"/>
          <w:color w:val="auto"/>
          <w:kern w:val="2"/>
          <w:sz w:val="28"/>
          <w:szCs w:val="20"/>
          <w:u w:color="000000"/>
          <w:lang w:val="en-US" w:eastAsia="zh-CN" w:bidi="ar-SA"/>
        </w:rPr>
        <w:t>》，</w:t>
      </w:r>
      <w:r>
        <w:rPr>
          <w:rFonts w:hint="eastAsia" w:ascii="宋体" w:cs="Times New Roman"/>
          <w:color w:val="auto"/>
          <w:kern w:val="2"/>
          <w:sz w:val="28"/>
          <w:szCs w:val="20"/>
          <w:u w:color="000000"/>
          <w:lang w:val="en-US" w:eastAsia="zh-CN" w:bidi="ar-SA"/>
        </w:rPr>
        <w:t>租赁期自2016年4月1日起至2026年3月31日止，</w:t>
      </w:r>
      <w:r>
        <w:rPr>
          <w:rFonts w:hint="eastAsia" w:ascii="宋体" w:hAnsi="Times New Roman" w:eastAsia="宋体" w:cs="Times New Roman"/>
          <w:color w:val="auto"/>
          <w:kern w:val="2"/>
          <w:sz w:val="28"/>
          <w:szCs w:val="20"/>
          <w:u w:color="000000"/>
          <w:lang w:val="en-US" w:eastAsia="zh-CN" w:bidi="ar-SA"/>
        </w:rPr>
        <w:t>详见附件。</w:t>
      </w:r>
    </w:p>
    <w:p w14:paraId="7DD09B22">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w:t>
      </w:r>
      <w:r>
        <w:rPr>
          <w:rFonts w:hint="eastAsia" w:ascii="宋体" w:cs="Times New Roman"/>
          <w:color w:val="auto"/>
          <w:sz w:val="28"/>
          <w:szCs w:val="20"/>
          <w:lang w:val="en-US" w:eastAsia="zh-CN" w:bidi="ar-SA"/>
        </w:rPr>
        <w:t>01</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3</w:t>
      </w:r>
      <w:r>
        <w:rPr>
          <w:rFonts w:hint="eastAsia" w:ascii="宋体" w:hAnsi="Times New Roman" w:eastAsia="宋体" w:cs="Times New Roman"/>
          <w:color w:val="auto"/>
          <w:sz w:val="28"/>
          <w:szCs w:val="20"/>
          <w:lang w:val="en-US" w:eastAsia="zh-CN" w:bidi="ar-SA"/>
        </w:rPr>
        <w:t>月</w:t>
      </w:r>
      <w:r>
        <w:rPr>
          <w:rFonts w:hint="eastAsia" w:ascii="宋体" w:cs="Times New Roman"/>
          <w:color w:val="auto"/>
          <w:sz w:val="28"/>
          <w:szCs w:val="20"/>
          <w:lang w:val="en-US" w:eastAsia="zh-CN" w:bidi="ar-SA"/>
        </w:rPr>
        <w:t>29</w:t>
      </w:r>
      <w:r>
        <w:rPr>
          <w:rFonts w:hint="eastAsia" w:ascii="宋体" w:hAnsi="Times New Roman" w:eastAsia="宋体" w:cs="Times New Roman"/>
          <w:color w:val="auto"/>
          <w:sz w:val="28"/>
          <w:szCs w:val="20"/>
          <w:lang w:val="en-US" w:eastAsia="zh-CN" w:bidi="ar-SA"/>
        </w:rPr>
        <w:t>日取得了</w:t>
      </w:r>
      <w:r>
        <w:rPr>
          <w:rFonts w:hint="eastAsia" w:ascii="宋体" w:cs="Times New Roman"/>
          <w:color w:val="auto"/>
          <w:sz w:val="28"/>
          <w:szCs w:val="20"/>
          <w:lang w:val="en-US" w:eastAsia="zh-CN" w:bidi="ar-SA"/>
        </w:rPr>
        <w:t>肥城市公安消防大队出具的</w:t>
      </w:r>
      <w:r>
        <w:rPr>
          <w:rFonts w:hint="eastAsia" w:ascii="宋体"/>
          <w:color w:val="auto"/>
        </w:rPr>
        <w:t>《</w:t>
      </w:r>
      <w:r>
        <w:rPr>
          <w:rFonts w:hint="eastAsia" w:ascii="宋体"/>
          <w:color w:val="auto"/>
          <w:lang w:val="en-US" w:eastAsia="zh-CN"/>
        </w:rPr>
        <w:t>建筑工程消防验收意见书</w:t>
      </w:r>
      <w:r>
        <w:rPr>
          <w:rFonts w:hint="eastAsia" w:ascii="宋体"/>
          <w:color w:val="auto"/>
        </w:rPr>
        <w:t>》</w:t>
      </w:r>
      <w:r>
        <w:rPr>
          <w:rFonts w:hint="eastAsia" w:ascii="宋体" w:hAnsi="Times New Roman" w:eastAsia="宋体" w:cs="Times New Roman"/>
          <w:color w:val="auto"/>
          <w:sz w:val="28"/>
          <w:szCs w:val="20"/>
          <w:lang w:val="en-US" w:eastAsia="zh-CN" w:bidi="ar-SA"/>
        </w:rPr>
        <w:t>，证书编号：</w:t>
      </w:r>
      <w:r>
        <w:rPr>
          <w:rFonts w:hint="eastAsia" w:ascii="宋体" w:cs="Times New Roman"/>
          <w:color w:val="auto"/>
          <w:sz w:val="28"/>
          <w:szCs w:val="20"/>
          <w:lang w:val="en-US" w:eastAsia="zh-CN" w:bidi="ar-SA"/>
        </w:rPr>
        <w:t>肥公消验字第006</w:t>
      </w:r>
      <w:r>
        <w:rPr>
          <w:rFonts w:hint="eastAsia" w:ascii="宋体" w:hAnsi="Times New Roman" w:eastAsia="宋体" w:cs="Times New Roman"/>
          <w:color w:val="auto"/>
          <w:sz w:val="28"/>
          <w:szCs w:val="20"/>
          <w:lang w:val="en-US" w:eastAsia="zh-CN" w:bidi="ar-SA"/>
        </w:rPr>
        <w:t>号，详见附件。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1</w:t>
      </w:r>
      <w:r>
        <w:rPr>
          <w:rFonts w:ascii="宋体"/>
          <w:color w:val="auto"/>
        </w:rPr>
        <w:t>年</w:t>
      </w:r>
      <w:r>
        <w:rPr>
          <w:rFonts w:hint="eastAsia" w:ascii="宋体"/>
          <w:color w:val="auto"/>
          <w:lang w:val="en-US" w:eastAsia="zh-CN"/>
        </w:rPr>
        <w:t>12</w:t>
      </w:r>
      <w:r>
        <w:rPr>
          <w:rFonts w:ascii="宋体"/>
          <w:color w:val="auto"/>
        </w:rPr>
        <w:t>月</w:t>
      </w:r>
      <w:r>
        <w:rPr>
          <w:rFonts w:hint="eastAsia" w:ascii="宋体"/>
          <w:color w:val="auto"/>
          <w:lang w:val="en-US" w:eastAsia="zh-CN"/>
        </w:rPr>
        <w:t>27</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61013</w:t>
      </w:r>
      <w:r>
        <w:rPr>
          <w:rFonts w:ascii="宋体"/>
          <w:color w:val="auto"/>
        </w:rPr>
        <w:t>号</w:t>
      </w:r>
      <w:r>
        <w:rPr>
          <w:rFonts w:hint="eastAsia" w:ascii="宋体"/>
          <w:color w:val="auto"/>
        </w:rPr>
        <w:t>，证书有效期至2026年</w:t>
      </w:r>
      <w:r>
        <w:rPr>
          <w:rFonts w:hint="eastAsia" w:ascii="宋体"/>
          <w:color w:val="auto"/>
          <w:lang w:val="en-US" w:eastAsia="zh-CN"/>
        </w:rPr>
        <w:t>12</w:t>
      </w:r>
      <w:r>
        <w:rPr>
          <w:rFonts w:hint="eastAsia" w:ascii="宋体"/>
          <w:color w:val="auto"/>
        </w:rPr>
        <w:t>月</w:t>
      </w:r>
      <w:r>
        <w:rPr>
          <w:rFonts w:hint="eastAsia" w:ascii="宋体"/>
          <w:color w:val="auto"/>
          <w:lang w:val="en-US" w:eastAsia="zh-CN"/>
        </w:rPr>
        <w:t>27</w:t>
      </w:r>
      <w:r>
        <w:rPr>
          <w:rFonts w:hint="eastAsia" w:ascii="宋体"/>
          <w:color w:val="auto"/>
        </w:rPr>
        <w:t>日，证书见附件</w:t>
      </w:r>
      <w:r>
        <w:rPr>
          <w:rFonts w:ascii="宋体"/>
          <w:color w:val="auto"/>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6</w:t>
      </w:r>
      <w:r>
        <w:rPr>
          <w:rFonts w:hint="eastAsia" w:ascii="宋体"/>
          <w:color w:val="auto"/>
        </w:rPr>
        <w:t>月</w:t>
      </w:r>
      <w:r>
        <w:rPr>
          <w:rFonts w:hint="eastAsia" w:ascii="宋体"/>
          <w:color w:val="auto"/>
          <w:lang w:val="en-US" w:eastAsia="zh-CN"/>
        </w:rPr>
        <w:t>20</w:t>
      </w:r>
      <w:r>
        <w:rPr>
          <w:rFonts w:hint="eastAsia" w:ascii="宋体"/>
          <w:color w:val="auto"/>
        </w:rPr>
        <w:t>日换发了《危险化学品经营许可证》，证书编号：鲁泰危化经[20</w:t>
      </w:r>
      <w:r>
        <w:rPr>
          <w:rFonts w:hint="eastAsia" w:ascii="宋体"/>
          <w:color w:val="auto"/>
          <w:lang w:val="en-US" w:eastAsia="zh-CN"/>
        </w:rPr>
        <w:t>22</w:t>
      </w:r>
      <w:r>
        <w:rPr>
          <w:rFonts w:hint="eastAsia" w:ascii="宋体"/>
          <w:color w:val="auto"/>
        </w:rPr>
        <w:t>]0</w:t>
      </w:r>
      <w:r>
        <w:rPr>
          <w:rFonts w:hint="eastAsia" w:ascii="宋体"/>
          <w:color w:val="auto"/>
          <w:lang w:val="en-US" w:eastAsia="zh-CN"/>
        </w:rPr>
        <w:t>40012</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06</w:t>
      </w:r>
      <w:r>
        <w:rPr>
          <w:rFonts w:hint="eastAsia" w:ascii="宋体"/>
          <w:color w:val="auto"/>
        </w:rPr>
        <w:t>月</w:t>
      </w:r>
      <w:r>
        <w:rPr>
          <w:rFonts w:hint="eastAsia" w:ascii="宋体"/>
          <w:color w:val="auto"/>
          <w:lang w:val="en-US" w:eastAsia="zh-CN"/>
        </w:rPr>
        <w:t>20</w:t>
      </w:r>
      <w:r>
        <w:rPr>
          <w:rFonts w:hint="eastAsia" w:ascii="宋体"/>
          <w:color w:val="auto"/>
        </w:rPr>
        <w:t>日，证书见附件。</w:t>
      </w:r>
    </w:p>
    <w:p w14:paraId="182DB058">
      <w:pPr>
        <w:pStyle w:val="17"/>
        <w:keepLines w:val="0"/>
        <w:widowControl w:val="0"/>
        <w:wordWrap/>
        <w:overflowPunct/>
        <w:topLinePunct w:val="0"/>
        <w:bidi w:val="0"/>
        <w:adjustRightInd w:val="0"/>
        <w:snapToGrid w:val="0"/>
        <w:spacing w:line="360" w:lineRule="auto"/>
        <w:ind w:firstLine="560"/>
        <w:rPr>
          <w:rFonts w:hint="eastAsia" w:ascii="宋体" w:hAnsi="宋体" w:eastAsia="宋体" w:cs="宋体"/>
          <w:color w:val="auto"/>
          <w:lang w:eastAsia="zh-CN"/>
        </w:rPr>
      </w:pPr>
      <w:r>
        <w:rPr>
          <w:rFonts w:hint="eastAsia" w:ascii="宋体" w:hAnsi="宋体" w:eastAsia="宋体" w:cs="宋体"/>
          <w:color w:val="auto"/>
        </w:rPr>
        <w:t>2024年0</w:t>
      </w:r>
      <w:r>
        <w:rPr>
          <w:rFonts w:hint="eastAsia" w:ascii="宋体" w:hAnsi="宋体" w:eastAsia="宋体" w:cs="宋体"/>
          <w:color w:val="auto"/>
          <w:lang w:val="en-US" w:eastAsia="zh-CN"/>
        </w:rPr>
        <w:t>6月28日</w:t>
      </w:r>
      <w:r>
        <w:rPr>
          <w:rFonts w:hint="eastAsia" w:ascii="宋体" w:hAnsi="宋体" w:eastAsia="宋体" w:cs="宋体"/>
          <w:color w:val="auto"/>
        </w:rPr>
        <w:t>，济南本安科技发展有限公司对该站可燃气体探测进行了</w:t>
      </w:r>
      <w:r>
        <w:rPr>
          <w:rFonts w:hint="eastAsia" w:ascii="宋体" w:hAnsi="宋体" w:eastAsia="宋体" w:cs="宋体"/>
          <w:color w:val="auto"/>
          <w:lang w:val="en-US" w:eastAsia="zh-CN"/>
        </w:rPr>
        <w:t>检验</w:t>
      </w:r>
      <w:r>
        <w:rPr>
          <w:rFonts w:hint="eastAsia" w:ascii="宋体" w:hAnsi="宋体" w:eastAsia="宋体" w:cs="宋体"/>
          <w:color w:val="auto"/>
        </w:rPr>
        <w:t>，</w:t>
      </w:r>
      <w:r>
        <w:rPr>
          <w:rFonts w:hint="eastAsia" w:ascii="宋体" w:hAnsi="宋体" w:eastAsia="宋体" w:cs="宋体"/>
          <w:color w:val="auto"/>
          <w:lang w:val="en-US" w:eastAsia="zh-CN"/>
        </w:rPr>
        <w:t>并</w:t>
      </w:r>
      <w:r>
        <w:rPr>
          <w:rFonts w:hint="eastAsia" w:ascii="宋体" w:hAnsi="宋体" w:eastAsia="宋体" w:cs="宋体"/>
          <w:color w:val="auto"/>
        </w:rPr>
        <w:t>出具了合格的检</w:t>
      </w:r>
      <w:r>
        <w:rPr>
          <w:rFonts w:hint="eastAsia" w:ascii="宋体" w:hAnsi="宋体" w:eastAsia="宋体" w:cs="宋体"/>
          <w:color w:val="auto"/>
          <w:lang w:val="en-US" w:eastAsia="zh-CN"/>
        </w:rPr>
        <w:t>验</w:t>
      </w:r>
      <w:r>
        <w:rPr>
          <w:rFonts w:hint="eastAsia" w:ascii="宋体" w:hAnsi="宋体" w:eastAsia="宋体" w:cs="宋体"/>
          <w:color w:val="auto"/>
        </w:rPr>
        <w:t>报告，报告编号：240</w:t>
      </w:r>
      <w:r>
        <w:rPr>
          <w:rFonts w:hint="eastAsia" w:ascii="宋体" w:hAnsi="宋体" w:eastAsia="宋体" w:cs="宋体"/>
          <w:color w:val="auto"/>
          <w:lang w:val="en-US" w:eastAsia="zh-CN"/>
        </w:rPr>
        <w:t>6282173</w:t>
      </w:r>
      <w:r>
        <w:rPr>
          <w:rFonts w:hint="eastAsia" w:ascii="宋体" w:hAnsi="宋体" w:eastAsia="宋体" w:cs="宋体"/>
          <w:color w:val="auto"/>
        </w:rPr>
        <w:t>，</w:t>
      </w:r>
      <w:r>
        <w:rPr>
          <w:rFonts w:hint="eastAsia" w:ascii="宋体" w:hAnsi="宋体" w:eastAsia="宋体" w:cs="宋体"/>
          <w:color w:val="auto"/>
          <w:lang w:val="en-US" w:eastAsia="zh-CN"/>
        </w:rPr>
        <w:t>测试结论：</w:t>
      </w:r>
      <w:r>
        <w:rPr>
          <w:rFonts w:hint="eastAsia" w:ascii="宋体" w:hAnsi="宋体" w:eastAsia="宋体" w:cs="宋体"/>
          <w:color w:val="auto"/>
        </w:rPr>
        <w:t>“</w:t>
      </w:r>
      <w:r>
        <w:rPr>
          <w:rFonts w:hint="eastAsia" w:ascii="宋体" w:hAnsi="宋体" w:eastAsia="宋体" w:cs="宋体"/>
          <w:color w:val="auto"/>
          <w:lang w:val="en-US" w:eastAsia="zh-CN"/>
        </w:rPr>
        <w:t>维护后检验</w:t>
      </w:r>
      <w:r>
        <w:rPr>
          <w:rFonts w:hint="eastAsia" w:ascii="宋体" w:hAnsi="宋体" w:eastAsia="宋体" w:cs="宋体"/>
          <w:color w:val="auto"/>
        </w:rPr>
        <w:t>合格”，检测报告见附件</w:t>
      </w:r>
      <w:r>
        <w:rPr>
          <w:rFonts w:hint="eastAsia" w:ascii="宋体" w:hAnsi="宋体" w:eastAsia="宋体" w:cs="宋体"/>
          <w:color w:val="auto"/>
          <w:lang w:eastAsia="zh-CN"/>
        </w:rPr>
        <w:t>。</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4年10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w:t>
      </w:r>
      <w:r>
        <w:rPr>
          <w:rFonts w:hint="eastAsia" w:ascii="宋体" w:hAnsi="宋体"/>
          <w:color w:val="auto"/>
          <w:sz w:val="28"/>
          <w:lang w:val="en-US" w:eastAsia="zh-CN"/>
        </w:rPr>
        <w:t>00</w:t>
      </w:r>
      <w:r>
        <w:rPr>
          <w:rFonts w:hint="eastAsia" w:ascii="宋体" w:hAnsi="宋体"/>
          <w:color w:val="auto"/>
          <w:sz w:val="28"/>
        </w:rPr>
        <w:t>-202</w:t>
      </w:r>
      <w:r>
        <w:rPr>
          <w:rFonts w:hint="eastAsia" w:ascii="宋体" w:hAnsi="宋体"/>
          <w:color w:val="auto"/>
          <w:sz w:val="28"/>
          <w:lang w:val="en-US" w:eastAsia="zh-CN"/>
        </w:rPr>
        <w:t>4</w:t>
      </w:r>
      <w:r>
        <w:rPr>
          <w:rFonts w:hint="eastAsia" w:ascii="宋体" w:hAnsi="宋体"/>
          <w:color w:val="auto"/>
          <w:sz w:val="28"/>
        </w:rPr>
        <w:t>-0</w:t>
      </w:r>
      <w:r>
        <w:rPr>
          <w:rFonts w:hint="eastAsia" w:ascii="宋体" w:hAnsi="宋体"/>
          <w:color w:val="auto"/>
          <w:sz w:val="28"/>
          <w:lang w:val="en-US" w:eastAsia="zh-CN"/>
        </w:rPr>
        <w:t>152</w:t>
      </w:r>
      <w:r>
        <w:rPr>
          <w:rFonts w:hint="eastAsia" w:ascii="宋体" w:hAnsi="宋体"/>
          <w:color w:val="auto"/>
          <w:sz w:val="28"/>
        </w:rPr>
        <w:t>，详见附件。</w:t>
      </w:r>
    </w:p>
    <w:p w14:paraId="077001B7">
      <w:pPr>
        <w:pStyle w:val="22"/>
        <w:keepLines w:val="0"/>
        <w:widowControl w:val="0"/>
        <w:wordWrap/>
        <w:overflowPunct/>
        <w:topLinePunct w:val="0"/>
        <w:bidi w:val="0"/>
        <w:adjustRightInd w:val="0"/>
        <w:snapToGrid w:val="0"/>
        <w:spacing w:line="360" w:lineRule="auto"/>
        <w:ind w:firstLine="560"/>
        <w:jc w:val="both"/>
        <w:rPr>
          <w:rFonts w:hint="eastAsia" w:ascii="宋体" w:hAnsi="Times New Roman" w:eastAsia="宋体" w:cs="Times New Roman"/>
          <w:color w:val="auto"/>
          <w:sz w:val="28"/>
          <w:lang w:val="en-US" w:eastAsia="zh-CN" w:bidi="ar-SA"/>
        </w:rPr>
      </w:pPr>
      <w:r>
        <w:rPr>
          <w:rFonts w:hint="eastAsia" w:ascii="宋体" w:hAnsi="Times New Roman" w:eastAsia="宋体" w:cs="Times New Roman"/>
          <w:color w:val="auto"/>
          <w:sz w:val="28"/>
          <w:lang w:val="en-US" w:eastAsia="zh-CN" w:bidi="ar-SA"/>
        </w:rPr>
        <w:t>山东天科防雷工程有限公司对该站进行了相关防雷设施的检测，出具了合格的《雷电防护装置定期检测报告》，报告编号：（1122016001）[2024]TA</w:t>
      </w:r>
      <w:r>
        <w:rPr>
          <w:rFonts w:hint="eastAsia" w:ascii="宋体" w:eastAsia="宋体" w:cs="Times New Roman"/>
          <w:color w:val="auto"/>
          <w:sz w:val="28"/>
          <w:lang w:val="en-US" w:eastAsia="zh-CN" w:bidi="ar-SA"/>
        </w:rPr>
        <w:t>FC</w:t>
      </w:r>
      <w:r>
        <w:rPr>
          <w:rFonts w:hint="eastAsia" w:ascii="宋体" w:hAnsi="Times New Roman" w:eastAsia="宋体" w:cs="Times New Roman"/>
          <w:color w:val="auto"/>
          <w:sz w:val="28"/>
          <w:lang w:val="en-US" w:eastAsia="zh-CN" w:bidi="ar-SA"/>
        </w:rPr>
        <w:t>-0</w:t>
      </w:r>
      <w:r>
        <w:rPr>
          <w:rFonts w:hint="eastAsia" w:ascii="宋体" w:eastAsia="宋体" w:cs="Times New Roman"/>
          <w:color w:val="auto"/>
          <w:sz w:val="28"/>
          <w:lang w:val="en-US" w:eastAsia="zh-CN" w:bidi="ar-SA"/>
        </w:rPr>
        <w:t>273</w:t>
      </w:r>
      <w:r>
        <w:rPr>
          <w:rFonts w:hint="eastAsia" w:ascii="宋体" w:hAnsi="Times New Roman" w:eastAsia="宋体" w:cs="Times New Roman"/>
          <w:color w:val="auto"/>
          <w:sz w:val="28"/>
          <w:lang w:val="en-US" w:eastAsia="zh-CN" w:bidi="ar-SA"/>
        </w:rPr>
        <w:t>号，防雷类别：二类，结论为“合格：加油站雷电防护装置符合现行国家防雷规范标准要求”，有效期至202</w:t>
      </w:r>
      <w:r>
        <w:rPr>
          <w:rFonts w:hint="eastAsia" w:ascii="宋体" w:eastAsia="宋体" w:cs="Times New Roman"/>
          <w:color w:val="auto"/>
          <w:sz w:val="28"/>
          <w:lang w:val="en-US" w:eastAsia="zh-CN" w:bidi="ar-SA"/>
        </w:rPr>
        <w:t>5</w:t>
      </w:r>
      <w:r>
        <w:rPr>
          <w:rFonts w:hint="eastAsia" w:ascii="宋体" w:hAnsi="Times New Roman" w:eastAsia="宋体" w:cs="Times New Roman"/>
          <w:color w:val="auto"/>
          <w:sz w:val="28"/>
          <w:lang w:val="en-US" w:eastAsia="zh-CN" w:bidi="ar-SA"/>
        </w:rPr>
        <w:t>年</w:t>
      </w:r>
      <w:r>
        <w:rPr>
          <w:rFonts w:hint="eastAsia" w:ascii="宋体" w:eastAsia="宋体" w:cs="Times New Roman"/>
          <w:color w:val="auto"/>
          <w:sz w:val="28"/>
          <w:lang w:val="en-US" w:eastAsia="zh-CN" w:bidi="ar-SA"/>
        </w:rPr>
        <w:t>04</w:t>
      </w:r>
      <w:r>
        <w:rPr>
          <w:rFonts w:hint="eastAsia" w:ascii="宋体" w:hAnsi="Times New Roman" w:eastAsia="宋体" w:cs="Times New Roman"/>
          <w:color w:val="auto"/>
          <w:sz w:val="28"/>
          <w:lang w:val="en-US" w:eastAsia="zh-CN" w:bidi="ar-SA"/>
        </w:rPr>
        <w:t>月</w:t>
      </w:r>
      <w:r>
        <w:rPr>
          <w:rFonts w:hint="eastAsia" w:ascii="宋体" w:eastAsia="宋体" w:cs="Times New Roman"/>
          <w:color w:val="auto"/>
          <w:sz w:val="28"/>
          <w:lang w:val="en-US" w:eastAsia="zh-CN" w:bidi="ar-SA"/>
        </w:rPr>
        <w:t>05</w:t>
      </w:r>
      <w:r>
        <w:rPr>
          <w:rFonts w:hint="eastAsia" w:ascii="宋体" w:hAnsi="Times New Roman" w:eastAsia="宋体" w:cs="Times New Roman"/>
          <w:color w:val="auto"/>
          <w:sz w:val="28"/>
          <w:lang w:val="en-US" w:eastAsia="zh-CN" w:bidi="ar-SA"/>
        </w:rPr>
        <w:t>日，检测报告见附件。</w:t>
      </w:r>
    </w:p>
    <w:p w14:paraId="2C452701">
      <w:pPr>
        <w:pStyle w:val="17"/>
        <w:keepLines w:val="0"/>
        <w:widowControl w:val="0"/>
        <w:wordWrap/>
        <w:overflowPunct/>
        <w:topLinePunct w:val="0"/>
        <w:bidi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济南市中心支司</w:t>
      </w:r>
      <w:r>
        <w:rPr>
          <w:rFonts w:hint="eastAsia" w:ascii="宋体"/>
          <w:color w:val="auto"/>
        </w:rPr>
        <w:t>投保安全生产责任保险，保险期限2024年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0693CF36">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79A8433E">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2</w:t>
      </w:r>
      <w:r>
        <w:rPr>
          <w:rFonts w:hint="eastAsia" w:ascii="宋体"/>
          <w:color w:val="auto"/>
        </w:rPr>
        <w:t>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10</w:t>
      </w:r>
      <w:r>
        <w:rPr>
          <w:rFonts w:hint="eastAsia" w:ascii="宋体"/>
          <w:color w:val="auto"/>
        </w:rPr>
        <w:t>具，</w:t>
      </w:r>
      <w:r>
        <w:rPr>
          <w:rFonts w:hint="eastAsia" w:ascii="宋体"/>
          <w:color w:val="auto"/>
          <w:lang w:val="en-US" w:eastAsia="zh-CN"/>
        </w:rPr>
        <w:t>4</w:t>
      </w:r>
      <w:r>
        <w:rPr>
          <w:rFonts w:hint="eastAsia" w:ascii="宋体"/>
          <w:color w:val="auto"/>
        </w:rPr>
        <w:t>kg手提式干粉灭火器</w:t>
      </w:r>
      <w:r>
        <w:rPr>
          <w:rFonts w:hint="eastAsia" w:ascii="宋体"/>
          <w:color w:val="auto"/>
          <w:lang w:val="en-US" w:eastAsia="zh-CN"/>
        </w:rPr>
        <w:t>2</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4</w:t>
      </w:r>
      <w:r>
        <w:rPr>
          <w:rFonts w:hint="eastAsia" w:ascii="宋体"/>
          <w:color w:val="auto"/>
        </w:rPr>
        <w:t>具，灭火毯</w:t>
      </w:r>
      <w:r>
        <w:rPr>
          <w:rFonts w:hint="eastAsia" w:ascii="宋体"/>
          <w:color w:val="auto"/>
          <w:lang w:val="en-US" w:eastAsia="zh-CN"/>
        </w:rPr>
        <w:t>5</w:t>
      </w:r>
      <w:r>
        <w:rPr>
          <w:rFonts w:hint="eastAsia" w:ascii="宋体"/>
          <w:color w:val="auto"/>
        </w:rPr>
        <w:t>块，消防锨</w:t>
      </w:r>
      <w:r>
        <w:rPr>
          <w:rFonts w:hint="eastAsia" w:ascii="宋体"/>
          <w:color w:val="auto"/>
          <w:lang w:val="en-US" w:eastAsia="zh-CN"/>
        </w:rPr>
        <w:t>4</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p w14:paraId="6FFECC2C">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16" w:name="_Toc102633906"/>
      <w:bookmarkStart w:id="17" w:name="_Toc1454"/>
      <w:bookmarkStart w:id="18" w:name="_Toc102634406"/>
      <w:bookmarkStart w:id="19" w:name="_Toc102633980"/>
      <w:bookmarkStart w:id="20" w:name="_Toc102634255"/>
      <w:r>
        <w:rPr>
          <w:rFonts w:hint="eastAsia"/>
          <w:color w:val="auto"/>
        </w:rPr>
        <w:t>第四章 评价单元划分与评价方法选择</w:t>
      </w:r>
      <w:bookmarkEnd w:id="16"/>
      <w:bookmarkEnd w:id="17"/>
      <w:bookmarkEnd w:id="18"/>
      <w:bookmarkEnd w:id="19"/>
      <w:bookmarkEnd w:id="20"/>
    </w:p>
    <w:p w14:paraId="2746B56D">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21" w:name="_Toc23543"/>
      <w:bookmarkStart w:id="22" w:name="_Toc15033754"/>
      <w:bookmarkStart w:id="23" w:name="_Toc238007574"/>
      <w:bookmarkStart w:id="24" w:name="_Toc12643"/>
      <w:bookmarkStart w:id="25" w:name="_Toc102634256"/>
      <w:bookmarkStart w:id="26" w:name="_Toc192907201"/>
      <w:bookmarkStart w:id="27" w:name="_Toc198026273"/>
      <w:bookmarkStart w:id="28" w:name="_Toc102633981"/>
      <w:bookmarkStart w:id="29" w:name="_Toc102633907"/>
      <w:bookmarkStart w:id="30" w:name="_Toc272364536"/>
      <w:bookmarkStart w:id="31" w:name="_Toc102634407"/>
      <w:bookmarkStart w:id="32" w:name="_Toc7829"/>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keepLines w:val="0"/>
        <w:widowControl w:val="0"/>
        <w:wordWrap/>
        <w:overflowPunct/>
        <w:topLinePunct w:val="0"/>
        <w:bidi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27353523">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026DA44C">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398C798A">
      <w:pPr>
        <w:pStyle w:val="22"/>
        <w:keepLines w:val="0"/>
        <w:widowControl w:val="0"/>
        <w:wordWrap/>
        <w:overflowPunct/>
        <w:topLinePunct w:val="0"/>
        <w:bidi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62CFCC3E">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0FBFE2CD">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B14D1E9">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lang w:val="en-US" w:eastAsia="zh-CN"/>
        </w:rPr>
        <w:t>四</w:t>
      </w:r>
      <w:r>
        <w:rPr>
          <w:rFonts w:ascii="宋体"/>
          <w:color w:val="auto"/>
        </w:rPr>
        <w:t>个单元：</w:t>
      </w:r>
    </w:p>
    <w:p w14:paraId="6DE469C5">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1、安全管理；</w:t>
      </w:r>
    </w:p>
    <w:p w14:paraId="43587CB1">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50938A5E">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3、加油工艺及设施；</w:t>
      </w:r>
    </w:p>
    <w:p w14:paraId="0B39931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4、其它安全设施</w:t>
      </w:r>
    </w:p>
    <w:p w14:paraId="6785BEE8">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35" w:name="_Toc22810"/>
      <w:bookmarkStart w:id="36" w:name="_Toc102634259"/>
      <w:bookmarkStart w:id="37" w:name="_Toc102633908"/>
      <w:bookmarkStart w:id="38" w:name="_Toc102633982"/>
      <w:bookmarkStart w:id="39" w:name="_Toc102634408"/>
    </w:p>
    <w:p w14:paraId="4728414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评价方法的选择</w:t>
      </w:r>
      <w:bookmarkEnd w:id="35"/>
      <w:bookmarkEnd w:id="36"/>
      <w:bookmarkEnd w:id="37"/>
      <w:bookmarkEnd w:id="38"/>
      <w:bookmarkEnd w:id="39"/>
    </w:p>
    <w:p w14:paraId="112AC8C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538B1AF0">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w:t>
      </w:r>
      <w:r>
        <w:rPr>
          <w:rFonts w:hint="eastAsia" w:ascii="宋体"/>
          <w:color w:val="auto"/>
          <w:lang w:eastAsia="zh-CN"/>
        </w:rPr>
        <w:t>肥城第十三加油站</w:t>
      </w:r>
      <w:r>
        <w:rPr>
          <w:rFonts w:ascii="宋体"/>
          <w:color w:val="auto"/>
        </w:rPr>
        <w:t>的具体情况，选用安全检查表、事故树法及危险度评价法对加油站进行评价。具体应用如下表所示：</w:t>
      </w:r>
    </w:p>
    <w:p w14:paraId="2063F328">
      <w:pPr>
        <w:pStyle w:val="19"/>
        <w:keepLines w:val="0"/>
        <w:widowControl w:val="0"/>
        <w:wordWrap/>
        <w:overflowPunct/>
        <w:topLinePunct w:val="0"/>
        <w:bidi w:val="0"/>
        <w:adjustRightInd w:val="0"/>
        <w:snapToGrid w:val="0"/>
        <w:spacing w:line="360" w:lineRule="auto"/>
        <w:outlineLvl w:val="9"/>
        <w:rPr>
          <w:rFonts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407FDEC0">
            <w:pPr>
              <w:pStyle w:val="20"/>
              <w:keepLines w:val="0"/>
              <w:widowControl w:val="0"/>
              <w:wordWrap/>
              <w:overflowPunct/>
              <w:topLinePunct w:val="0"/>
              <w:bidi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677AB48F">
            <w:pPr>
              <w:pStyle w:val="20"/>
              <w:keepLines w:val="0"/>
              <w:widowControl w:val="0"/>
              <w:wordWrap/>
              <w:overflowPunct/>
              <w:topLinePunct w:val="0"/>
              <w:bidi w:val="0"/>
              <w:adjustRightInd w:val="0"/>
              <w:snapToGrid w:val="0"/>
              <w:spacing w:line="360" w:lineRule="auto"/>
              <w:rPr>
                <w:rFonts w:ascii="宋体"/>
                <w:b/>
                <w:color w:val="auto"/>
              </w:rPr>
            </w:pPr>
            <w:r>
              <w:rPr>
                <w:rFonts w:ascii="宋体"/>
                <w:b/>
                <w:color w:val="auto"/>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keepLines w:val="0"/>
              <w:widowControl w:val="0"/>
              <w:wordWrap/>
              <w:overflowPunct/>
              <w:topLinePunct w:val="0"/>
              <w:bidi w:val="0"/>
              <w:adjustRightInd w:val="0"/>
              <w:snapToGrid w:val="0"/>
              <w:spacing w:line="360" w:lineRule="auto"/>
              <w:rPr>
                <w:rFonts w:ascii="宋体"/>
                <w:b/>
                <w:color w:val="auto"/>
                <w:lang w:val="en-GB"/>
              </w:rPr>
            </w:pPr>
          </w:p>
        </w:tc>
        <w:tc>
          <w:tcPr>
            <w:tcW w:w="1285" w:type="pct"/>
            <w:vMerge w:val="continue"/>
            <w:vAlign w:val="center"/>
          </w:tcPr>
          <w:p w14:paraId="4354371D">
            <w:pPr>
              <w:pStyle w:val="20"/>
              <w:keepLines w:val="0"/>
              <w:widowControl w:val="0"/>
              <w:wordWrap/>
              <w:overflowPunct/>
              <w:topLinePunct w:val="0"/>
              <w:bidi w:val="0"/>
              <w:adjustRightInd w:val="0"/>
              <w:snapToGrid w:val="0"/>
              <w:spacing w:line="360" w:lineRule="auto"/>
              <w:rPr>
                <w:rFonts w:ascii="宋体"/>
                <w:b/>
                <w:color w:val="auto"/>
              </w:rPr>
            </w:pPr>
          </w:p>
        </w:tc>
        <w:tc>
          <w:tcPr>
            <w:tcW w:w="1196" w:type="pct"/>
            <w:vAlign w:val="center"/>
          </w:tcPr>
          <w:p w14:paraId="3AFEA6A5">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1A7F0C2D">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450E43E4">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77AD246C">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2364CD10">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A1F004A">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55972ED6">
            <w:pPr>
              <w:pStyle w:val="20"/>
              <w:keepLines w:val="0"/>
              <w:widowControl w:val="0"/>
              <w:wordWrap/>
              <w:overflowPunct/>
              <w:topLinePunct w:val="0"/>
              <w:bidi w:val="0"/>
              <w:adjustRightInd w:val="0"/>
              <w:snapToGrid w:val="0"/>
              <w:spacing w:line="360" w:lineRule="auto"/>
              <w:rPr>
                <w:rFonts w:ascii="宋体"/>
                <w:color w:val="auto"/>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5FC52626">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3F48F08E">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F6F5754">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4EA5D93B">
            <w:pPr>
              <w:pStyle w:val="20"/>
              <w:keepLines w:val="0"/>
              <w:widowControl w:val="0"/>
              <w:wordWrap/>
              <w:overflowPunct/>
              <w:topLinePunct w:val="0"/>
              <w:bidi w:val="0"/>
              <w:adjustRightInd w:val="0"/>
              <w:snapToGrid w:val="0"/>
              <w:spacing w:line="360" w:lineRule="auto"/>
              <w:rPr>
                <w:rFonts w:ascii="宋体"/>
                <w:color w:val="auto"/>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33A2314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4D3121EE">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309E73D">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6C02E3C8">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24FB2A7F">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588F5A71">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5416D32F">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34376E2F">
            <w:pPr>
              <w:pStyle w:val="20"/>
              <w:keepLines w:val="0"/>
              <w:widowControl w:val="0"/>
              <w:wordWrap/>
              <w:overflowPunct/>
              <w:topLinePunct w:val="0"/>
              <w:bidi w:val="0"/>
              <w:adjustRightInd w:val="0"/>
              <w:snapToGrid w:val="0"/>
              <w:spacing w:line="360" w:lineRule="auto"/>
              <w:rPr>
                <w:rFonts w:ascii="宋体"/>
                <w:color w:val="auto"/>
              </w:rPr>
            </w:pPr>
          </w:p>
        </w:tc>
      </w:tr>
    </w:tbl>
    <w:p w14:paraId="761C022E">
      <w:pPr>
        <w:pStyle w:val="17"/>
        <w:keepLines w:val="0"/>
        <w:widowControl w:val="0"/>
        <w:wordWrap/>
        <w:overflowPunct/>
        <w:topLinePunct w:val="0"/>
        <w:bidi w:val="0"/>
        <w:adjustRightInd w:val="0"/>
        <w:snapToGrid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709F192E">
      <w:pPr>
        <w:pStyle w:val="21"/>
        <w:keepLines w:val="0"/>
        <w:widowControl w:val="0"/>
        <w:wordWrap/>
        <w:overflowPunct/>
        <w:topLinePunct w:val="0"/>
        <w:bidi w:val="0"/>
        <w:adjustRightInd w:val="0"/>
        <w:snapToGrid w:val="0"/>
        <w:spacing w:line="360" w:lineRule="auto"/>
        <w:ind w:firstLine="872" w:firstLineChars="400"/>
        <w:rPr>
          <w:color w:val="auto"/>
        </w:rPr>
      </w:pPr>
    </w:p>
    <w:p w14:paraId="53953895">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40" w:name="_Toc7871"/>
      <w:r>
        <w:rPr>
          <w:rFonts w:hint="eastAsia"/>
          <w:color w:val="auto"/>
        </w:rPr>
        <w:t>第六章  安全对策措施及建议</w:t>
      </w:r>
      <w:bookmarkEnd w:id="40"/>
    </w:p>
    <w:p w14:paraId="61D5A378">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41" w:name="_Toc339456079"/>
      <w:bookmarkStart w:id="42" w:name="_Toc225046264"/>
      <w:bookmarkStart w:id="43" w:name="_Toc348877039"/>
      <w:bookmarkStart w:id="44" w:name="_Toc102634415"/>
      <w:bookmarkStart w:id="45" w:name="_Toc242065302"/>
      <w:bookmarkStart w:id="46" w:name="_Toc15033762"/>
      <w:bookmarkStart w:id="47" w:name="_Toc102633915"/>
      <w:bookmarkStart w:id="48" w:name="_Toc102634277"/>
      <w:bookmarkStart w:id="49" w:name="_Toc102633989"/>
      <w:bookmarkStart w:id="50" w:name="_Toc2607"/>
      <w:bookmarkStart w:id="51" w:name="_Toc4961"/>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0EA8F6C9">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bookmarkStart w:id="52" w:name="_Toc15033763"/>
      <w:bookmarkStart w:id="53" w:name="_Toc49590281"/>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1BE3E7C0">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32B72F4C">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690342E1">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vAlign w:val="center"/>
          </w:tcPr>
          <w:p w14:paraId="6CAEA933">
            <w:pPr>
              <w:keepLines w:val="0"/>
              <w:wordWrap/>
              <w:overflowPunct/>
              <w:topLinePunct w:val="0"/>
              <w:bidi w:val="0"/>
              <w:adjustRightInd w:val="0"/>
              <w:snapToGrid w:val="0"/>
              <w:spacing w:line="360" w:lineRule="auto"/>
              <w:rPr>
                <w:rFonts w:hint="eastAsia" w:ascii="宋体" w:hAnsi="宋体" w:eastAsia="宋体"/>
                <w:color w:val="auto"/>
                <w:kern w:val="0"/>
                <w:u w:color="000000"/>
                <w:lang w:val="en-US" w:eastAsia="zh-CN"/>
              </w:rPr>
            </w:pPr>
            <w:r>
              <w:rPr>
                <w:rStyle w:val="11"/>
                <w:rFonts w:hint="eastAsia"/>
                <w:color w:val="auto"/>
                <w:u w:color="000000"/>
                <w:lang w:val="en-US" w:eastAsia="zh-CN"/>
              </w:rPr>
              <w:t>液位仪、测漏仪未设</w:t>
            </w:r>
            <w:r>
              <w:rPr>
                <w:rStyle w:val="11"/>
                <w:rFonts w:hint="eastAsia"/>
                <w:color w:val="auto"/>
                <w:u w:color="000000"/>
              </w:rPr>
              <w:t>不间断电源</w:t>
            </w:r>
            <w:r>
              <w:rPr>
                <w:rStyle w:val="11"/>
                <w:rFonts w:hint="eastAsia"/>
                <w:color w:val="auto"/>
                <w:u w:color="000000"/>
                <w:lang w:eastAsia="zh-CN"/>
              </w:rPr>
              <w:t>。</w:t>
            </w:r>
          </w:p>
        </w:tc>
        <w:tc>
          <w:tcPr>
            <w:tcW w:w="4740" w:type="dxa"/>
            <w:vAlign w:val="center"/>
          </w:tcPr>
          <w:p w14:paraId="590897B6">
            <w:pPr>
              <w:keepLines w:val="0"/>
              <w:wordWrap/>
              <w:overflowPunct/>
              <w:topLinePunct w:val="0"/>
              <w:bidi w:val="0"/>
              <w:adjustRightInd w:val="0"/>
              <w:snapToGrid w:val="0"/>
              <w:spacing w:line="360" w:lineRule="auto"/>
              <w:rPr>
                <w:rFonts w:hint="eastAsia" w:ascii="宋体" w:hAnsi="宋体" w:eastAsia="宋体"/>
                <w:color w:val="auto"/>
                <w:kern w:val="0"/>
                <w:u w:color="000000"/>
                <w:lang w:val="en-US" w:eastAsia="zh-CN"/>
              </w:rPr>
            </w:pPr>
            <w:r>
              <w:rPr>
                <w:rStyle w:val="11"/>
                <w:rFonts w:hint="eastAsia"/>
                <w:color w:val="auto"/>
                <w:u w:color="000000"/>
                <w:lang w:val="en-US" w:eastAsia="zh-CN"/>
              </w:rPr>
              <w:t>液位仪、测漏仪应设</w:t>
            </w:r>
            <w:r>
              <w:rPr>
                <w:rStyle w:val="11"/>
                <w:rFonts w:hint="eastAsia"/>
                <w:color w:val="auto"/>
                <w:u w:color="000000"/>
              </w:rPr>
              <w:t>不间断电源</w:t>
            </w:r>
            <w:r>
              <w:rPr>
                <w:rFonts w:hint="eastAsia"/>
                <w:color w:val="auto"/>
                <w:lang w:eastAsia="zh-CN"/>
              </w:rPr>
              <w:t>。</w:t>
            </w:r>
          </w:p>
        </w:tc>
      </w:tr>
    </w:tbl>
    <w:p w14:paraId="6F0AEE08">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2A98B92E">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1B98A5AA">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38E59759">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13B65308">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46DBD191">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42F822D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D75FE3E">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7EE66F50">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F9CB50C">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0646DF5B">
      <w:pPr>
        <w:pStyle w:val="3"/>
        <w:keepLines w:val="0"/>
        <w:wordWrap/>
        <w:overflowPunct/>
        <w:topLinePunct w:val="0"/>
        <w:bidi w:val="0"/>
        <w:adjustRightInd w:val="0"/>
        <w:snapToGrid w:val="0"/>
        <w:spacing w:line="360" w:lineRule="auto"/>
        <w:rPr>
          <w:rFonts w:hint="eastAsia"/>
          <w:color w:val="auto"/>
        </w:rPr>
      </w:pPr>
    </w:p>
    <w:p w14:paraId="2D3A31F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19A26E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1AF39899">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603C0DD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57B9872">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9850124">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371A5244">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整改复查情况表</w:t>
      </w:r>
    </w:p>
    <w:p w14:paraId="5357C6FC">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5"/>
        <w:gridCol w:w="3409"/>
        <w:gridCol w:w="3715"/>
        <w:gridCol w:w="1529"/>
      </w:tblGrid>
      <w:tr w14:paraId="6CCEB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2" w:type="pct"/>
            <w:vAlign w:val="center"/>
          </w:tcPr>
          <w:p w14:paraId="6F07E380">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序号</w:t>
            </w:r>
          </w:p>
        </w:tc>
        <w:tc>
          <w:tcPr>
            <w:tcW w:w="1835" w:type="pct"/>
            <w:vAlign w:val="center"/>
          </w:tcPr>
          <w:p w14:paraId="4FC47C08">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存在问题</w:t>
            </w:r>
          </w:p>
        </w:tc>
        <w:tc>
          <w:tcPr>
            <w:tcW w:w="2000" w:type="pct"/>
            <w:vAlign w:val="center"/>
          </w:tcPr>
          <w:p w14:paraId="4A8BA6E9">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整改措施</w:t>
            </w:r>
          </w:p>
        </w:tc>
        <w:tc>
          <w:tcPr>
            <w:tcW w:w="821" w:type="pct"/>
            <w:vAlign w:val="center"/>
          </w:tcPr>
          <w:p w14:paraId="06E60527">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复查情况</w:t>
            </w:r>
          </w:p>
        </w:tc>
      </w:tr>
      <w:tr w14:paraId="4FE9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2" w:type="pct"/>
            <w:vAlign w:val="center"/>
          </w:tcPr>
          <w:p w14:paraId="7FE5A872">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3513" w:type="dxa"/>
            <w:vAlign w:val="center"/>
          </w:tcPr>
          <w:p w14:paraId="742A7964">
            <w:pPr>
              <w:keepLines w:val="0"/>
              <w:wordWrap/>
              <w:overflowPunct/>
              <w:topLinePunct w:val="0"/>
              <w:bidi w:val="0"/>
              <w:adjustRightInd w:val="0"/>
              <w:snapToGrid w:val="0"/>
              <w:spacing w:line="360" w:lineRule="auto"/>
              <w:rPr>
                <w:rFonts w:hint="eastAsia" w:ascii="宋体" w:hAnsi="宋体" w:eastAsia="宋体" w:cs="Times New Roman"/>
                <w:color w:val="auto"/>
                <w:kern w:val="0"/>
                <w:sz w:val="21"/>
                <w:szCs w:val="21"/>
                <w:u w:color="000000"/>
                <w:lang w:val="en-US" w:eastAsia="zh-CN" w:bidi="ar-SA"/>
              </w:rPr>
            </w:pPr>
            <w:r>
              <w:rPr>
                <w:rStyle w:val="11"/>
                <w:rFonts w:hint="eastAsia"/>
                <w:color w:val="auto"/>
                <w:u w:color="000000"/>
                <w:lang w:val="en-US" w:eastAsia="zh-CN"/>
              </w:rPr>
              <w:t>液位仪、测漏仪未设</w:t>
            </w:r>
            <w:r>
              <w:rPr>
                <w:rStyle w:val="11"/>
                <w:rFonts w:hint="eastAsia"/>
                <w:color w:val="auto"/>
                <w:u w:color="000000"/>
              </w:rPr>
              <w:t>不间断电源</w:t>
            </w:r>
            <w:r>
              <w:rPr>
                <w:rStyle w:val="11"/>
                <w:rFonts w:hint="eastAsia"/>
                <w:color w:val="auto"/>
                <w:u w:color="000000"/>
                <w:lang w:eastAsia="zh-CN"/>
              </w:rPr>
              <w:t>。</w:t>
            </w:r>
          </w:p>
        </w:tc>
        <w:tc>
          <w:tcPr>
            <w:tcW w:w="3830" w:type="dxa"/>
            <w:vAlign w:val="center"/>
          </w:tcPr>
          <w:p w14:paraId="0FFD918C">
            <w:pPr>
              <w:keepLines w:val="0"/>
              <w:wordWrap/>
              <w:overflowPunct/>
              <w:topLinePunct w:val="0"/>
              <w:bidi w:val="0"/>
              <w:adjustRightInd w:val="0"/>
              <w:snapToGrid w:val="0"/>
              <w:spacing w:line="360" w:lineRule="auto"/>
              <w:rPr>
                <w:rFonts w:hint="eastAsia" w:ascii="宋体" w:hAnsi="宋体" w:eastAsia="宋体" w:cs="Times New Roman"/>
                <w:color w:val="auto"/>
                <w:kern w:val="0"/>
                <w:sz w:val="21"/>
                <w:szCs w:val="21"/>
                <w:u w:color="000000"/>
                <w:lang w:val="en-US" w:eastAsia="zh-CN" w:bidi="ar-SA"/>
              </w:rPr>
            </w:pPr>
            <w:r>
              <w:rPr>
                <w:rStyle w:val="11"/>
                <w:rFonts w:hint="eastAsia"/>
                <w:color w:val="auto"/>
                <w:u w:color="000000"/>
                <w:lang w:val="en-US" w:eastAsia="zh-CN"/>
              </w:rPr>
              <w:t>液位仪、测漏仪已设</w:t>
            </w:r>
            <w:r>
              <w:rPr>
                <w:rStyle w:val="11"/>
                <w:rFonts w:hint="eastAsia"/>
                <w:color w:val="auto"/>
                <w:u w:color="000000"/>
              </w:rPr>
              <w:t>不间断电源</w:t>
            </w:r>
            <w:r>
              <w:rPr>
                <w:rFonts w:hint="eastAsia"/>
                <w:color w:val="auto"/>
                <w:lang w:eastAsia="zh-CN"/>
              </w:rPr>
              <w:t>。</w:t>
            </w:r>
          </w:p>
        </w:tc>
        <w:tc>
          <w:tcPr>
            <w:tcW w:w="821" w:type="pct"/>
            <w:vAlign w:val="center"/>
          </w:tcPr>
          <w:p w14:paraId="386C0969">
            <w:pPr>
              <w:keepLines w:val="0"/>
              <w:wordWrap/>
              <w:overflowPunct/>
              <w:topLinePunct w:val="0"/>
              <w:bidi w:val="0"/>
              <w:adjustRightInd w:val="0"/>
              <w:snapToGrid w:val="0"/>
              <w:spacing w:line="360" w:lineRule="auto"/>
              <w:jc w:val="center"/>
              <w:rPr>
                <w:rFonts w:ascii="宋体" w:hAnsi="宋体" w:cs="宋体"/>
                <w:bCs/>
                <w:color w:val="auto"/>
              </w:rPr>
            </w:pPr>
            <w:r>
              <w:rPr>
                <w:rFonts w:hint="eastAsia" w:ascii="宋体" w:hAnsi="宋体" w:cs="宋体"/>
                <w:bCs/>
                <w:color w:val="auto"/>
                <w:lang w:val="en-US" w:eastAsia="zh-CN"/>
              </w:rPr>
              <w:t>已整改</w:t>
            </w:r>
          </w:p>
        </w:tc>
      </w:tr>
      <w:tr w14:paraId="73EA7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7A2D8FFB">
            <w:pPr>
              <w:pStyle w:val="17"/>
              <w:keepLines w:val="0"/>
              <w:widowControl w:val="0"/>
              <w:wordWrap/>
              <w:overflowPunct/>
              <w:topLinePunct w:val="0"/>
              <w:bidi w:val="0"/>
              <w:adjustRightInd w:val="0"/>
              <w:snapToGrid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79A2E818">
            <w:pPr>
              <w:pStyle w:val="23"/>
              <w:keepLines w:val="0"/>
              <w:wordWrap/>
              <w:overflowPunct/>
              <w:topLinePunct w:val="0"/>
              <w:bidi w:val="0"/>
              <w:adjustRightInd w:val="0"/>
              <w:snapToGrid w:val="0"/>
              <w:spacing w:line="360" w:lineRule="auto"/>
              <w:rPr>
                <w:rFonts w:ascii="宋体" w:hAnsi="宋体" w:cs="宋体"/>
                <w:color w:val="auto"/>
              </w:rPr>
            </w:pPr>
          </w:p>
          <w:p w14:paraId="32E090D9">
            <w:pPr>
              <w:pStyle w:val="17"/>
              <w:keepLines w:val="0"/>
              <w:widowControl w:val="0"/>
              <w:wordWrap/>
              <w:overflowPunct/>
              <w:topLinePunct w:val="0"/>
              <w:bidi w:val="0"/>
              <w:adjustRightInd w:val="0"/>
              <w:snapToGrid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19EE1A7D">
            <w:pPr>
              <w:pStyle w:val="23"/>
              <w:keepLines w:val="0"/>
              <w:wordWrap/>
              <w:overflowPunct/>
              <w:topLinePunct w:val="0"/>
              <w:bidi w:val="0"/>
              <w:adjustRightInd w:val="0"/>
              <w:snapToGrid w:val="0"/>
              <w:spacing w:line="360" w:lineRule="auto"/>
              <w:rPr>
                <w:rFonts w:ascii="宋体" w:hAnsi="宋体" w:cs="宋体"/>
                <w:color w:val="auto"/>
              </w:rPr>
            </w:pPr>
          </w:p>
          <w:p w14:paraId="3431AA07">
            <w:pPr>
              <w:pStyle w:val="23"/>
              <w:keepLines w:val="0"/>
              <w:wordWrap/>
              <w:overflowPunct/>
              <w:topLinePunct w:val="0"/>
              <w:bidi w:val="0"/>
              <w:adjustRightInd w:val="0"/>
              <w:snapToGrid w:val="0"/>
              <w:spacing w:line="360" w:lineRule="auto"/>
              <w:rPr>
                <w:rFonts w:ascii="宋体" w:hAnsi="宋体" w:cs="宋体"/>
                <w:color w:val="auto"/>
              </w:rPr>
            </w:pPr>
          </w:p>
          <w:p w14:paraId="52D04ACC">
            <w:pPr>
              <w:pStyle w:val="23"/>
              <w:keepLines w:val="0"/>
              <w:wordWrap/>
              <w:overflowPunct/>
              <w:topLinePunct w:val="0"/>
              <w:bidi w:val="0"/>
              <w:adjustRightInd w:val="0"/>
              <w:snapToGrid w:val="0"/>
              <w:spacing w:line="360" w:lineRule="auto"/>
              <w:rPr>
                <w:rFonts w:ascii="宋体" w:hAnsi="宋体" w:cs="宋体"/>
                <w:color w:val="auto"/>
              </w:rPr>
            </w:pPr>
          </w:p>
          <w:p w14:paraId="586812AC">
            <w:pPr>
              <w:pStyle w:val="23"/>
              <w:keepLines w:val="0"/>
              <w:wordWrap/>
              <w:overflowPunct/>
              <w:topLinePunct w:val="0"/>
              <w:bidi w:val="0"/>
              <w:adjustRightInd w:val="0"/>
              <w:snapToGrid w:val="0"/>
              <w:spacing w:line="360" w:lineRule="auto"/>
              <w:rPr>
                <w:rFonts w:ascii="宋体" w:hAnsi="宋体" w:cs="宋体"/>
                <w:color w:val="auto"/>
              </w:rPr>
            </w:pPr>
          </w:p>
          <w:p w14:paraId="3B8C0F86">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C660074">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0CA6E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BE5A468">
            <w:pPr>
              <w:pStyle w:val="23"/>
              <w:keepLines w:val="0"/>
              <w:wordWrap/>
              <w:overflowPunct/>
              <w:topLinePunct w:val="0"/>
              <w:bidi w:val="0"/>
              <w:adjustRightInd w:val="0"/>
              <w:snapToGrid w:val="0"/>
              <w:spacing w:line="360" w:lineRule="auto"/>
              <w:rPr>
                <w:rFonts w:ascii="宋体" w:hAnsi="宋体"/>
                <w:color w:val="auto"/>
              </w:rPr>
            </w:pPr>
          </w:p>
          <w:p w14:paraId="10624935">
            <w:pPr>
              <w:pStyle w:val="17"/>
              <w:keepLines w:val="0"/>
              <w:widowControl w:val="0"/>
              <w:wordWrap/>
              <w:overflowPunct/>
              <w:topLinePunct w:val="0"/>
              <w:bidi w:val="0"/>
              <w:adjustRightInd w:val="0"/>
              <w:snapToGrid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402BA079">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29969737">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549D0B6">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3AF4B44">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BDD6B47">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35556F8">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C083E0A">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2873A12E">
            <w:pPr>
              <w:pStyle w:val="17"/>
              <w:keepLines w:val="0"/>
              <w:widowControl w:val="0"/>
              <w:tabs>
                <w:tab w:val="left" w:pos="6690"/>
              </w:tabs>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4C671DC9">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21E3BEE5">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4E756756">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bookmarkStart w:id="54" w:name="_Toc102634288"/>
      <w:bookmarkStart w:id="55" w:name="_Toc102633994"/>
      <w:bookmarkStart w:id="56" w:name="_Toc18997"/>
      <w:bookmarkStart w:id="57" w:name="_Toc102633920"/>
      <w:bookmarkStart w:id="58" w:name="_Toc102634420"/>
      <w:bookmarkStart w:id="59" w:name="_Toc15033767"/>
      <w:bookmarkStart w:id="60" w:name="_Toc29653"/>
    </w:p>
    <w:p w14:paraId="00E616DA">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r>
        <w:rPr>
          <w:rFonts w:hint="eastAsia"/>
          <w:color w:val="auto"/>
        </w:rPr>
        <w:t>第二节 评价结论</w:t>
      </w:r>
      <w:bookmarkEnd w:id="54"/>
      <w:bookmarkEnd w:id="55"/>
      <w:bookmarkEnd w:id="56"/>
      <w:bookmarkEnd w:id="57"/>
      <w:bookmarkEnd w:id="58"/>
      <w:bookmarkEnd w:id="59"/>
      <w:bookmarkEnd w:id="60"/>
    </w:p>
    <w:p w14:paraId="73221C86">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肥城第十三加油站</w:t>
      </w:r>
      <w:r>
        <w:rPr>
          <w:rFonts w:ascii="宋体"/>
          <w:snapToGrid w:val="0"/>
          <w:color w:val="auto"/>
        </w:rPr>
        <w:t>的经营情况的安全现状评价，评价组认为：</w:t>
      </w:r>
    </w:p>
    <w:p w14:paraId="5FC03A9C">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肥城第十三加油站</w:t>
      </w:r>
      <w:r>
        <w:rPr>
          <w:rFonts w:ascii="宋体"/>
          <w:snapToGrid w:val="0"/>
          <w:color w:val="auto"/>
        </w:rPr>
        <w:t>周边环境良好、总平面布置符合《汽车加油加气加氢站技术标准》、《建筑设计防火规范》等相关国家标准、行业标准的规定。</w:t>
      </w:r>
    </w:p>
    <w:p w14:paraId="1279B5B7">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13EF82F9">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666A66D3">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2FB5DEC9">
      <w:pPr>
        <w:pStyle w:val="17"/>
        <w:keepNext w:val="0"/>
        <w:keepLines w:val="0"/>
        <w:widowControl w:val="0"/>
        <w:kinsoku/>
        <w:wordWrap/>
        <w:overflowPunct/>
        <w:topLinePunct w:val="0"/>
        <w:autoSpaceDE/>
        <w:autoSpaceDN/>
        <w:bidi w:val="0"/>
        <w:adjustRightInd w:val="0"/>
        <w:snapToGrid w:val="0"/>
        <w:spacing w:line="500" w:lineRule="exact"/>
        <w:ind w:firstLine="562"/>
        <w:textAlignment w:val="auto"/>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肥城第十三加油站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16834"/>
      <w:bookmarkStart w:id="62" w:name="_Toc102634289"/>
      <w:bookmarkStart w:id="63" w:name="_Toc102634421"/>
      <w:bookmarkStart w:id="64" w:name="_Toc10432"/>
      <w:bookmarkStart w:id="65" w:name="_Toc76827614"/>
      <w:bookmarkStart w:id="66" w:name="_Toc87375115"/>
      <w:bookmarkStart w:id="67" w:name="_Toc102633995"/>
      <w:bookmarkStart w:id="68" w:name="_Toc102633921"/>
    </w:p>
    <w:p w14:paraId="01B560A9">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11CBA40B">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肥城第十三加油站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63CAC5FC">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肥城第十三加油站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00A40098">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12</w:t>
      </w:r>
      <w:r>
        <w:rPr>
          <w:rFonts w:ascii="宋体"/>
          <w:snapToGrid w:val="0"/>
          <w:color w:val="auto"/>
        </w:rPr>
        <w:t>月编制完成本安全评价报告。</w:t>
      </w:r>
    </w:p>
    <w:p w14:paraId="4CDE07B2">
      <w:pPr>
        <w:pStyle w:val="17"/>
        <w:keepLines w:val="0"/>
        <w:widowControl w:val="0"/>
        <w:wordWrap/>
        <w:overflowPunct/>
        <w:topLinePunct w:val="0"/>
        <w:bidi w:val="0"/>
        <w:adjustRightInd w:val="0"/>
        <w:snapToGrid w:val="0"/>
        <w:spacing w:line="360" w:lineRule="auto"/>
        <w:ind w:firstLine="562"/>
        <w:rPr>
          <w:b/>
          <w:bCs/>
          <w:color w:val="auto"/>
        </w:rPr>
      </w:pPr>
    </w:p>
    <w:p w14:paraId="3268434C">
      <w:pPr>
        <w:pStyle w:val="17"/>
        <w:keepLines w:val="0"/>
        <w:widowControl w:val="0"/>
        <w:wordWrap/>
        <w:overflowPunct/>
        <w:topLinePunct w:val="0"/>
        <w:bidi w:val="0"/>
        <w:adjustRightInd w:val="0"/>
        <w:snapToGrid w:val="0"/>
        <w:spacing w:line="360" w:lineRule="auto"/>
        <w:ind w:firstLine="562"/>
        <w:rPr>
          <w:b/>
          <w:bCs/>
          <w:color w:val="auto"/>
        </w:rPr>
      </w:pPr>
    </w:p>
    <w:p w14:paraId="5D4FE534">
      <w:pPr>
        <w:pStyle w:val="17"/>
        <w:keepLines w:val="0"/>
        <w:widowControl w:val="0"/>
        <w:wordWrap/>
        <w:overflowPunct/>
        <w:topLinePunct w:val="0"/>
        <w:bidi w:val="0"/>
        <w:adjustRightInd w:val="0"/>
        <w:snapToGrid w:val="0"/>
        <w:spacing w:line="360" w:lineRule="auto"/>
        <w:ind w:firstLine="562"/>
        <w:rPr>
          <w:b/>
          <w:bCs/>
          <w:color w:val="auto"/>
        </w:rPr>
      </w:pPr>
    </w:p>
    <w:p w14:paraId="5C6C327F">
      <w:pPr>
        <w:pStyle w:val="17"/>
        <w:keepLines w:val="0"/>
        <w:widowControl w:val="0"/>
        <w:wordWrap/>
        <w:overflowPunct/>
        <w:topLinePunct w:val="0"/>
        <w:bidi w:val="0"/>
        <w:adjustRightInd w:val="0"/>
        <w:snapToGrid w:val="0"/>
        <w:spacing w:line="360" w:lineRule="auto"/>
        <w:ind w:firstLine="562"/>
        <w:rPr>
          <w:b/>
          <w:bCs/>
          <w:color w:val="auto"/>
        </w:rPr>
      </w:pPr>
    </w:p>
    <w:p w14:paraId="38E129FB">
      <w:pPr>
        <w:pStyle w:val="17"/>
        <w:keepLines w:val="0"/>
        <w:widowControl w:val="0"/>
        <w:wordWrap/>
        <w:overflowPunct/>
        <w:topLinePunct w:val="0"/>
        <w:bidi w:val="0"/>
        <w:adjustRightInd w:val="0"/>
        <w:snapToGrid w:val="0"/>
        <w:spacing w:line="360" w:lineRule="auto"/>
        <w:ind w:firstLine="562"/>
        <w:rPr>
          <w:b/>
          <w:bCs/>
          <w:color w:val="auto"/>
        </w:rPr>
      </w:pPr>
    </w:p>
    <w:p w14:paraId="4E534425">
      <w:pPr>
        <w:pStyle w:val="17"/>
        <w:keepLines w:val="0"/>
        <w:widowControl w:val="0"/>
        <w:wordWrap/>
        <w:overflowPunct/>
        <w:topLinePunct w:val="0"/>
        <w:bidi w:val="0"/>
        <w:adjustRightInd w:val="0"/>
        <w:snapToGrid w:val="0"/>
        <w:spacing w:line="360" w:lineRule="auto"/>
        <w:ind w:firstLine="562"/>
        <w:rPr>
          <w:b/>
          <w:bCs/>
          <w:color w:val="auto"/>
        </w:rPr>
      </w:pPr>
    </w:p>
    <w:p w14:paraId="3E0DFF63">
      <w:pPr>
        <w:pStyle w:val="17"/>
        <w:keepLines w:val="0"/>
        <w:widowControl w:val="0"/>
        <w:wordWrap/>
        <w:overflowPunct/>
        <w:topLinePunct w:val="0"/>
        <w:bidi w:val="0"/>
        <w:adjustRightInd w:val="0"/>
        <w:snapToGrid w:val="0"/>
        <w:spacing w:line="360" w:lineRule="auto"/>
        <w:ind w:firstLine="562"/>
        <w:rPr>
          <w:b/>
          <w:bCs/>
          <w:color w:val="auto"/>
        </w:rPr>
      </w:pPr>
    </w:p>
    <w:p w14:paraId="7F83E99C">
      <w:pPr>
        <w:pStyle w:val="17"/>
        <w:keepLines w:val="0"/>
        <w:widowControl w:val="0"/>
        <w:wordWrap/>
        <w:overflowPunct/>
        <w:topLinePunct w:val="0"/>
        <w:bidi w:val="0"/>
        <w:adjustRightInd w:val="0"/>
        <w:snapToGrid w:val="0"/>
        <w:spacing w:line="360" w:lineRule="auto"/>
        <w:ind w:firstLine="562"/>
        <w:rPr>
          <w:b/>
          <w:bCs/>
          <w:color w:val="auto"/>
        </w:rPr>
      </w:pPr>
    </w:p>
    <w:p w14:paraId="3F84EBDF">
      <w:pPr>
        <w:pStyle w:val="17"/>
        <w:keepLines w:val="0"/>
        <w:widowControl w:val="0"/>
        <w:wordWrap/>
        <w:overflowPunct/>
        <w:topLinePunct w:val="0"/>
        <w:bidi w:val="0"/>
        <w:adjustRightInd w:val="0"/>
        <w:snapToGrid w:val="0"/>
        <w:spacing w:line="360" w:lineRule="auto"/>
        <w:ind w:firstLine="562"/>
        <w:rPr>
          <w:b/>
          <w:bCs/>
          <w:color w:val="auto"/>
        </w:rPr>
      </w:pPr>
    </w:p>
    <w:p w14:paraId="550B26A1">
      <w:pPr>
        <w:pStyle w:val="17"/>
        <w:keepLines w:val="0"/>
        <w:widowControl w:val="0"/>
        <w:wordWrap/>
        <w:overflowPunct/>
        <w:topLinePunct w:val="0"/>
        <w:bidi w:val="0"/>
        <w:adjustRightInd w:val="0"/>
        <w:snapToGrid w:val="0"/>
        <w:spacing w:line="360" w:lineRule="auto"/>
        <w:ind w:firstLine="560"/>
        <w:rPr>
          <w:bCs/>
          <w:color w:val="auto"/>
        </w:rPr>
      </w:pPr>
      <w:r>
        <w:rPr>
          <w:rFonts w:hint="eastAsia"/>
          <w:bCs/>
          <w:color w:val="auto"/>
        </w:rPr>
        <w:t>评价单位公章                              被评价单位公章</w:t>
      </w:r>
    </w:p>
    <w:p w14:paraId="1D087F92">
      <w:pPr>
        <w:pStyle w:val="17"/>
        <w:keepLines w:val="0"/>
        <w:widowControl w:val="0"/>
        <w:wordWrap/>
        <w:overflowPunct/>
        <w:topLinePunct w:val="0"/>
        <w:bidi w:val="0"/>
        <w:adjustRightInd w:val="0"/>
        <w:snapToGrid w:val="0"/>
        <w:spacing w:line="360" w:lineRule="auto"/>
        <w:ind w:firstLine="562"/>
        <w:rPr>
          <w:b/>
          <w:bCs/>
          <w:color w:val="auto"/>
        </w:rPr>
      </w:pPr>
    </w:p>
    <w:p w14:paraId="1C6DEB42">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070B2434">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304B6F91">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0BCCC975">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21223088">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31B0D5BD">
      <w:pPr>
        <w:rPr>
          <w:rFonts w:hint="default" w:ascii="宋体"/>
          <w:color w:val="auto"/>
          <w:kern w:val="0"/>
          <w:sz w:val="28"/>
          <w:szCs w:val="20"/>
          <w:lang w:val="en-US" w:eastAsia="zh-CN"/>
        </w:rPr>
      </w:pPr>
    </w:p>
    <w:p w14:paraId="6590215B">
      <w:pPr>
        <w:jc w:val="center"/>
        <w:rPr>
          <w:rFonts w:hint="eastAsia"/>
          <w:sz w:val="28"/>
          <w:szCs w:val="28"/>
          <w:lang w:val="en-US" w:eastAsia="zh-CN"/>
        </w:rPr>
      </w:pPr>
      <w:r>
        <w:rPr>
          <w:rFonts w:hint="eastAsia"/>
          <w:sz w:val="28"/>
          <w:szCs w:val="28"/>
          <w:lang w:val="en-US" w:eastAsia="zh-CN"/>
        </w:rPr>
        <w:drawing>
          <wp:inline distT="0" distB="0" distL="114300" distR="114300">
            <wp:extent cx="5744845" cy="4308475"/>
            <wp:effectExtent l="0" t="0" r="8255" b="15875"/>
            <wp:docPr id="1" name="图片 1" descr="微信图片_20240925155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251552211"/>
                    <pic:cNvPicPr>
                      <a:picLocks noChangeAspect="1"/>
                    </pic:cNvPicPr>
                  </pic:nvPicPr>
                  <pic:blipFill>
                    <a:blip r:embed="rId4"/>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744845" cy="4308475"/>
            <wp:effectExtent l="0" t="0" r="8255" b="15875"/>
            <wp:docPr id="2" name="图片 2" descr="微信图片_2024092515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25155228"/>
                    <pic:cNvPicPr>
                      <a:picLocks noChangeAspect="1"/>
                    </pic:cNvPicPr>
                  </pic:nvPicPr>
                  <pic:blipFill>
                    <a:blip r:embed="rId5"/>
                    <a:stretch>
                      <a:fillRect/>
                    </a:stretch>
                  </pic:blipFill>
                  <pic:spPr>
                    <a:xfrm>
                      <a:off x="0" y="0"/>
                      <a:ext cx="5744845" cy="4308475"/>
                    </a:xfrm>
                    <a:prstGeom prst="rect">
                      <a:avLst/>
                    </a:prstGeom>
                  </pic:spPr>
                </pic:pic>
              </a:graphicData>
            </a:graphic>
          </wp:inline>
        </w:drawing>
      </w:r>
    </w:p>
    <w:p w14:paraId="29A5EEA8">
      <w:pPr>
        <w:jc w:val="center"/>
        <w:rPr>
          <w:rFonts w:hint="default"/>
          <w:sz w:val="28"/>
          <w:szCs w:val="28"/>
          <w:lang w:val="en-US" w:eastAsia="zh-CN"/>
        </w:rPr>
      </w:pPr>
      <w:r>
        <w:rPr>
          <w:rFonts w:hint="eastAsia"/>
          <w:sz w:val="28"/>
          <w:szCs w:val="28"/>
          <w:lang w:val="en-US" w:eastAsia="zh-CN"/>
        </w:rPr>
        <w:drawing>
          <wp:inline distT="0" distB="0" distL="114300" distR="114300">
            <wp:extent cx="5568950" cy="4177030"/>
            <wp:effectExtent l="0" t="0" r="12700" b="13970"/>
            <wp:docPr id="4" name="图片 4" descr="IMG_20241204_11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204_112352"/>
                    <pic:cNvPicPr>
                      <a:picLocks noChangeAspect="1"/>
                    </pic:cNvPicPr>
                  </pic:nvPicPr>
                  <pic:blipFill>
                    <a:blip r:embed="rId6"/>
                    <a:stretch>
                      <a:fillRect/>
                    </a:stretch>
                  </pic:blipFill>
                  <pic:spPr>
                    <a:xfrm>
                      <a:off x="0" y="0"/>
                      <a:ext cx="5568950" cy="4177030"/>
                    </a:xfrm>
                    <a:prstGeom prst="rect">
                      <a:avLst/>
                    </a:prstGeom>
                  </pic:spPr>
                </pic:pic>
              </a:graphicData>
            </a:graphic>
          </wp:inline>
        </w:drawing>
      </w:r>
      <w:r>
        <w:rPr>
          <w:rFonts w:hint="eastAsia"/>
          <w:sz w:val="28"/>
          <w:szCs w:val="28"/>
          <w:lang w:val="en-US" w:eastAsia="zh-CN"/>
        </w:rPr>
        <w:drawing>
          <wp:inline distT="0" distB="0" distL="114300" distR="114300">
            <wp:extent cx="5462270" cy="4097655"/>
            <wp:effectExtent l="0" t="0" r="5080" b="17145"/>
            <wp:docPr id="3" name="图片 3" descr="IMG_20241204_11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204_112144"/>
                    <pic:cNvPicPr>
                      <a:picLocks noChangeAspect="1"/>
                    </pic:cNvPicPr>
                  </pic:nvPicPr>
                  <pic:blipFill>
                    <a:blip r:embed="rId7"/>
                    <a:stretch>
                      <a:fillRect/>
                    </a:stretch>
                  </pic:blipFill>
                  <pic:spPr>
                    <a:xfrm>
                      <a:off x="0" y="0"/>
                      <a:ext cx="5462270" cy="4097655"/>
                    </a:xfrm>
                    <a:prstGeom prst="rect">
                      <a:avLst/>
                    </a:prstGeom>
                  </pic:spPr>
                </pic:pic>
              </a:graphicData>
            </a:graphic>
          </wp:inline>
        </w:drawing>
      </w:r>
      <w:r>
        <w:rPr>
          <w:rFonts w:hint="default"/>
          <w:sz w:val="28"/>
          <w:szCs w:val="28"/>
          <w:lang w:val="en-US" w:eastAsia="zh-CN"/>
        </w:rPr>
        <w:drawing>
          <wp:inline distT="0" distB="0" distL="114300" distR="114300">
            <wp:extent cx="4143375" cy="6353175"/>
            <wp:effectExtent l="0" t="0" r="9525" b="9525"/>
            <wp:docPr id="6" name="图片 6" descr="173561368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5613689249"/>
                    <pic:cNvPicPr>
                      <a:picLocks noChangeAspect="1"/>
                    </pic:cNvPicPr>
                  </pic:nvPicPr>
                  <pic:blipFill>
                    <a:blip r:embed="rId8"/>
                    <a:stretch>
                      <a:fillRect/>
                    </a:stretch>
                  </pic:blipFill>
                  <pic:spPr>
                    <a:xfrm>
                      <a:off x="0" y="0"/>
                      <a:ext cx="4143375" cy="6353175"/>
                    </a:xfrm>
                    <a:prstGeom prst="rect">
                      <a:avLst/>
                    </a:prstGeom>
                  </pic:spPr>
                </pic:pic>
              </a:graphicData>
            </a:graphic>
          </wp:inline>
        </w:drawing>
      </w:r>
      <w:bookmarkStart w:id="70" w:name="_GoBack"/>
      <w:bookmarkEnd w:id="70"/>
      <w:r>
        <w:rPr>
          <w:rFonts w:hint="default"/>
          <w:sz w:val="28"/>
          <w:szCs w:val="28"/>
          <w:lang w:val="en-US" w:eastAsia="zh-CN"/>
        </w:rPr>
        <w:drawing>
          <wp:inline distT="0" distB="0" distL="114300" distR="114300">
            <wp:extent cx="4038600" cy="5953125"/>
            <wp:effectExtent l="0" t="0" r="0" b="9525"/>
            <wp:docPr id="5" name="图片 5" descr="173561367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5613676762"/>
                    <pic:cNvPicPr>
                      <a:picLocks noChangeAspect="1"/>
                    </pic:cNvPicPr>
                  </pic:nvPicPr>
                  <pic:blipFill>
                    <a:blip r:embed="rId9"/>
                    <a:stretch>
                      <a:fillRect/>
                    </a:stretch>
                  </pic:blipFill>
                  <pic:spPr>
                    <a:xfrm>
                      <a:off x="0" y="0"/>
                      <a:ext cx="4038600" cy="595312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6E92E3A"/>
    <w:rsid w:val="06ED2842"/>
    <w:rsid w:val="07A11E1A"/>
    <w:rsid w:val="098D48F6"/>
    <w:rsid w:val="09D5345C"/>
    <w:rsid w:val="0A1C5EDC"/>
    <w:rsid w:val="0A27015B"/>
    <w:rsid w:val="0A5D5908"/>
    <w:rsid w:val="0BD51C61"/>
    <w:rsid w:val="0EDC1223"/>
    <w:rsid w:val="12386C7D"/>
    <w:rsid w:val="128225DB"/>
    <w:rsid w:val="13D12EE6"/>
    <w:rsid w:val="153C4810"/>
    <w:rsid w:val="16BC1C2B"/>
    <w:rsid w:val="1C4A2E55"/>
    <w:rsid w:val="1DE92E23"/>
    <w:rsid w:val="1E1E483E"/>
    <w:rsid w:val="1FF73CD4"/>
    <w:rsid w:val="22CB7136"/>
    <w:rsid w:val="284F788D"/>
    <w:rsid w:val="2A9D36CA"/>
    <w:rsid w:val="2E5E68CC"/>
    <w:rsid w:val="2EC41433"/>
    <w:rsid w:val="2F917EEC"/>
    <w:rsid w:val="31297B3A"/>
    <w:rsid w:val="355F439E"/>
    <w:rsid w:val="35CC29B8"/>
    <w:rsid w:val="361E3E5D"/>
    <w:rsid w:val="36641912"/>
    <w:rsid w:val="37A6654A"/>
    <w:rsid w:val="38B36882"/>
    <w:rsid w:val="3BB85D78"/>
    <w:rsid w:val="3C176B62"/>
    <w:rsid w:val="420C1409"/>
    <w:rsid w:val="4706325F"/>
    <w:rsid w:val="47290367"/>
    <w:rsid w:val="48FE4AE5"/>
    <w:rsid w:val="4ECC7680"/>
    <w:rsid w:val="4F5D6EDB"/>
    <w:rsid w:val="537F016A"/>
    <w:rsid w:val="563D798B"/>
    <w:rsid w:val="567C6788"/>
    <w:rsid w:val="579A241E"/>
    <w:rsid w:val="58840D76"/>
    <w:rsid w:val="5C8B1D2D"/>
    <w:rsid w:val="5D511379"/>
    <w:rsid w:val="60FB542C"/>
    <w:rsid w:val="636808F8"/>
    <w:rsid w:val="64FD4259"/>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345</Words>
  <Characters>406</Characters>
  <Lines>0</Lines>
  <Paragraphs>0</Paragraphs>
  <TotalTime>0</TotalTime>
  <ScaleCrop>false</ScaleCrop>
  <LinksUpToDate>false</LinksUpToDate>
  <CharactersWithSpaces>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