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DF9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4EC39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BF466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A5E5B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江西众和化工有限公司年产2400吨水性化环保型农药制剂建设项目（一期）安全验收评价报告</w:t>
            </w:r>
          </w:p>
        </w:tc>
      </w:tr>
      <w:tr w14:paraId="02339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82793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6D451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ascii="宋体" w:hAnsi="宋体" w:cs="宋体"/>
                <w:sz w:val="24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ascii="宋体" w:hAnsi="宋体" w:cs="宋体"/>
                <w:sz w:val="24"/>
              </w:rPr>
              <w:t>7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0B37B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ACD22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4F6B9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B40E2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4D48F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0EBE6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F53F6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C500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78E1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58879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9CC1C7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5EC260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018803</w:t>
            </w:r>
          </w:p>
        </w:tc>
      </w:tr>
      <w:tr w14:paraId="05FB0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AF7CA7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B596F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吴红玉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9D081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1200000000300398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D50F5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025175</w:t>
            </w:r>
          </w:p>
        </w:tc>
      </w:tr>
      <w:tr w14:paraId="520D9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8E814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4476BB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1CCBFC7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7A6BE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013031</w:t>
            </w:r>
          </w:p>
        </w:tc>
      </w:tr>
      <w:tr w14:paraId="11116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6D73C8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34A88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岳强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BF81B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0800000000102212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45045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002352</w:t>
            </w:r>
          </w:p>
        </w:tc>
      </w:tr>
      <w:tr w14:paraId="5E982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F2545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184DF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9493E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71BA34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020045</w:t>
            </w:r>
          </w:p>
        </w:tc>
      </w:tr>
      <w:tr w14:paraId="78847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FB650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694E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118E9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1575C1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F6EA1B3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</w:rPr>
              <w:t>吴红玉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12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25</w:t>
            </w:r>
          </w:p>
        </w:tc>
      </w:tr>
      <w:tr w14:paraId="4F409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690C1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A93470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</w:rPr>
              <w:t>吴红玉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20</w:t>
            </w:r>
          </w:p>
        </w:tc>
      </w:tr>
      <w:tr w14:paraId="3DD40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D34D8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D019943">
            <w:pPr>
              <w:ind w:firstLine="48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江西众和化工有限公司位于江西省南昌市安义县安义工业园区（现名为安义高新技术产业园区）北一路，注册资本伍仟万元，法定代表人：连建东，属于有限责任公司，经营范围：非原药类农药生产、加工、复配、分装；其它化学品生产、销售；农药、农药中间体、医药中间体及其他化学品的生产、销售（仅限分支机构经营）；水溶肥、微生物肥生产、销售；自营和代理各类商品和技术的进出口业务。（危险化学品除外）（依法须经批准的项目，经相关部门批准后方可开展经营活动）。</w:t>
            </w:r>
          </w:p>
          <w:p w14:paraId="0A21C685">
            <w:pPr>
              <w:ind w:firstLine="48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经过30多年的发展，江西众和化工有限公司已发展成为以农业制剂研发、生产和销售为核心，涵盖农药原药的研发生产和销售、现代农业科技园的打造为主营业务的一家农化产业集团公司，其中在农药制剂领域已发展成为全国规模最大、品种最全的制剂</w:t>
            </w:r>
            <w:r>
              <w:fldChar w:fldCharType="begin"/>
            </w:r>
            <w:r>
              <w:instrText xml:space="preserve"> HYPERLINK "http://baike.baidu.com/view/61312.htm" </w:instrText>
            </w:r>
            <w:r>
              <w:fldChar w:fldCharType="separate"/>
            </w:r>
            <w:r>
              <w:rPr>
                <w:rFonts w:hint="eastAsia"/>
                <w:snapToGrid w:val="0"/>
              </w:rPr>
              <w:t>农药</w:t>
            </w:r>
            <w:r>
              <w:rPr>
                <w:rFonts w:hint="eastAsia"/>
                <w:snapToGrid w:val="0"/>
              </w:rPr>
              <w:fldChar w:fldCharType="end"/>
            </w:r>
            <w:r>
              <w:rPr>
                <w:rFonts w:hint="eastAsia"/>
                <w:snapToGrid w:val="0"/>
              </w:rPr>
              <w:t>厂家之一。企业占地面积</w:t>
            </w:r>
            <w:r>
              <w:rPr>
                <w:snapToGrid w:val="0"/>
              </w:rPr>
              <w:t>45670.26</w:t>
            </w:r>
            <w:r>
              <w:rPr>
                <w:rFonts w:hint="eastAsia"/>
                <w:snapToGrid w:val="0"/>
              </w:rPr>
              <w:t>㎡，原有设施</w:t>
            </w:r>
            <w:r>
              <w:rPr>
                <w:snapToGrid w:val="0"/>
              </w:rPr>
              <w:t>有</w:t>
            </w:r>
            <w:r>
              <w:rPr>
                <w:rFonts w:hint="eastAsia"/>
                <w:snapToGrid w:val="0"/>
              </w:rPr>
              <w:t>乳油复配车间（101）、粉剂车间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10</w:t>
            </w:r>
            <w:r>
              <w:rPr>
                <w:snapToGrid w:val="0"/>
              </w:rPr>
              <w:t>3）</w:t>
            </w:r>
            <w:r>
              <w:rPr>
                <w:rFonts w:hint="eastAsia"/>
                <w:snapToGrid w:val="0"/>
              </w:rPr>
              <w:t>、丙类车间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10</w:t>
            </w:r>
            <w:r>
              <w:rPr>
                <w:snapToGrid w:val="0"/>
              </w:rPr>
              <w:t>4）</w:t>
            </w:r>
            <w:r>
              <w:rPr>
                <w:rFonts w:hint="eastAsia"/>
                <w:snapToGrid w:val="0"/>
              </w:rPr>
              <w:t>、贮罐区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201</w:t>
            </w:r>
            <w:r>
              <w:rPr>
                <w:snapToGrid w:val="0"/>
              </w:rPr>
              <w:t>）</w:t>
            </w:r>
            <w:r>
              <w:rPr>
                <w:rFonts w:hint="eastAsia"/>
                <w:snapToGrid w:val="0"/>
              </w:rPr>
              <w:t>、成品仓库一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20</w:t>
            </w:r>
            <w:r>
              <w:rPr>
                <w:snapToGrid w:val="0"/>
              </w:rPr>
              <w:t>3）</w:t>
            </w:r>
            <w:r>
              <w:rPr>
                <w:rFonts w:hint="eastAsia"/>
                <w:snapToGrid w:val="0"/>
              </w:rPr>
              <w:t>、粉剂仓库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20</w:t>
            </w:r>
            <w:r>
              <w:rPr>
                <w:snapToGrid w:val="0"/>
              </w:rPr>
              <w:t>4）</w:t>
            </w:r>
            <w:r>
              <w:rPr>
                <w:rFonts w:hint="eastAsia"/>
                <w:snapToGrid w:val="0"/>
              </w:rPr>
              <w:t>、辅材仓库一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20</w:t>
            </w:r>
            <w:r>
              <w:rPr>
                <w:snapToGrid w:val="0"/>
              </w:rPr>
              <w:t>6）</w:t>
            </w:r>
            <w:r>
              <w:rPr>
                <w:rFonts w:hint="eastAsia"/>
                <w:snapToGrid w:val="0"/>
              </w:rPr>
              <w:t>、辅材</w:t>
            </w:r>
            <w:r>
              <w:rPr>
                <w:snapToGrid w:val="0"/>
              </w:rPr>
              <w:t>仓库</w:t>
            </w:r>
            <w:r>
              <w:rPr>
                <w:rFonts w:hint="eastAsia"/>
                <w:snapToGrid w:val="0"/>
              </w:rPr>
              <w:t>二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20</w:t>
            </w:r>
            <w:r>
              <w:rPr>
                <w:snapToGrid w:val="0"/>
              </w:rPr>
              <w:t>7）</w:t>
            </w:r>
            <w:r>
              <w:rPr>
                <w:rFonts w:hint="eastAsia"/>
                <w:snapToGrid w:val="0"/>
              </w:rPr>
              <w:t>、发配电间</w:t>
            </w:r>
            <w:r>
              <w:rPr>
                <w:snapToGrid w:val="0"/>
              </w:rPr>
              <w:t>（301）</w:t>
            </w:r>
            <w:r>
              <w:rPr>
                <w:rFonts w:hint="eastAsia"/>
                <w:snapToGrid w:val="0"/>
              </w:rPr>
              <w:t>、事故应急池</w:t>
            </w:r>
            <w:r>
              <w:rPr>
                <w:snapToGrid w:val="0"/>
              </w:rPr>
              <w:t>（</w:t>
            </w:r>
            <w:r>
              <w:rPr>
                <w:rFonts w:hint="eastAsia"/>
                <w:snapToGrid w:val="0"/>
              </w:rPr>
              <w:t>303</w:t>
            </w:r>
            <w:r>
              <w:rPr>
                <w:snapToGrid w:val="0"/>
              </w:rPr>
              <w:t>）</w:t>
            </w:r>
            <w:r>
              <w:rPr>
                <w:rFonts w:hint="eastAsia"/>
                <w:snapToGrid w:val="0"/>
              </w:rPr>
              <w:t>、综合办公楼</w:t>
            </w:r>
            <w:r>
              <w:rPr>
                <w:snapToGrid w:val="0"/>
              </w:rPr>
              <w:t>（401）</w:t>
            </w:r>
            <w:r>
              <w:rPr>
                <w:rFonts w:hint="eastAsia"/>
                <w:snapToGrid w:val="0"/>
              </w:rPr>
              <w:t>、研发楼</w:t>
            </w:r>
            <w:r>
              <w:rPr>
                <w:snapToGrid w:val="0"/>
              </w:rPr>
              <w:t>（402）</w:t>
            </w:r>
            <w:r>
              <w:rPr>
                <w:rFonts w:hint="eastAsia"/>
                <w:snapToGrid w:val="0"/>
              </w:rPr>
              <w:t>、食堂</w:t>
            </w:r>
            <w:r>
              <w:rPr>
                <w:snapToGrid w:val="0"/>
              </w:rPr>
              <w:t>（403）</w:t>
            </w:r>
            <w:r>
              <w:rPr>
                <w:rFonts w:hint="eastAsia"/>
                <w:snapToGrid w:val="0"/>
              </w:rPr>
              <w:t>、门卫一</w:t>
            </w:r>
            <w:r>
              <w:rPr>
                <w:snapToGrid w:val="0"/>
              </w:rPr>
              <w:t>（404）</w:t>
            </w:r>
            <w:r>
              <w:rPr>
                <w:rFonts w:hint="eastAsia"/>
                <w:snapToGrid w:val="0"/>
              </w:rPr>
              <w:t>、</w:t>
            </w:r>
            <w:r>
              <w:rPr>
                <w:snapToGrid w:val="0"/>
              </w:rPr>
              <w:t>门卫</w:t>
            </w:r>
            <w:r>
              <w:rPr>
                <w:rFonts w:hint="eastAsia"/>
                <w:snapToGrid w:val="0"/>
              </w:rPr>
              <w:t>二（40</w:t>
            </w:r>
            <w:r>
              <w:rPr>
                <w:snapToGrid w:val="0"/>
              </w:rPr>
              <w:t>5）</w:t>
            </w:r>
            <w:r>
              <w:rPr>
                <w:rFonts w:hint="eastAsia"/>
                <w:snapToGrid w:val="0"/>
              </w:rPr>
              <w:t>。企业根据规划，建设年产2400吨水性化环保型农药制剂建设项目，本次验收为一期项目，一期产品包括水剂200t/a、悬浮剂1800t/a，项目已取得安义县科技和工业信息化局出具的备案通知</w:t>
            </w:r>
            <w:r>
              <w:rPr>
                <w:snapToGrid w:val="0"/>
              </w:rPr>
              <w:t>（项目统一代码为：2020-360123-26-03-020241）。</w:t>
            </w:r>
          </w:p>
        </w:tc>
      </w:tr>
      <w:tr w14:paraId="300B4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068A9E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D44C499">
            <w:pPr>
              <w:ind w:firstLine="480"/>
            </w:pPr>
            <w:r>
              <w:rPr>
                <w:rFonts w:hint="eastAsia"/>
              </w:rPr>
              <w:t>1、</w:t>
            </w:r>
            <w:r>
              <w:t>流程叙述</w:t>
            </w:r>
          </w:p>
          <w:p w14:paraId="439887C8">
            <w:pPr>
              <w:ind w:firstLine="480"/>
            </w:pPr>
            <w:r>
              <w:rPr>
                <w:rFonts w:hint="eastAsia"/>
              </w:rPr>
              <w:t>将水加入搅拌混合罐中，开启搅拌，投入固体原药95%唏啶虫胺，持续搅拌，直到固体原药完全溶解，再将液体原药</w:t>
            </w:r>
            <w:r>
              <w:t>4209-J</w:t>
            </w:r>
            <w:r>
              <w:rPr>
                <w:rFonts w:hint="eastAsia"/>
              </w:rPr>
              <w:t>抽入搅拌混合罐中，最后将消泡剂和剩余水加入搅拌混合罐，搅拌2小时，得到均匀透明的液体，即为水剂。水剂产品通过泵输送至包装机包装，包装之后叉车运输至成品仓库储存。</w:t>
            </w:r>
          </w:p>
          <w:p w14:paraId="1E850484">
            <w:pPr>
              <w:ind w:firstLine="480"/>
            </w:pPr>
            <w:r>
              <w:rPr>
                <w:rFonts w:hint="eastAsia"/>
              </w:rPr>
              <w:t>2、工艺流程图</w:t>
            </w:r>
          </w:p>
          <w:p w14:paraId="5AFD2EBB">
            <w:pPr>
              <w:widowControl/>
            </w:pPr>
            <w:r>
              <w:drawing>
                <wp:inline distT="0" distB="0" distL="0" distR="0">
                  <wp:extent cx="4481830" cy="234315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34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24276">
            <w:pPr>
              <w:ind w:firstLine="480"/>
            </w:pPr>
          </w:p>
        </w:tc>
      </w:tr>
      <w:tr w14:paraId="76A4A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A40495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C06B5C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0805F5AD">
      <w:r>
        <w:rPr>
          <w:rFonts w:hint="eastAsia"/>
        </w:rPr>
        <w:br w:type="page"/>
      </w:r>
    </w:p>
    <w:p w14:paraId="112B8D19">
      <w:r>
        <w:drawing>
          <wp:inline distT="0" distB="0" distL="0" distR="0">
            <wp:extent cx="5481955" cy="7312660"/>
            <wp:effectExtent l="0" t="0" r="4445" b="2540"/>
            <wp:docPr id="2" name="图片 2" descr="G:\已完成报告1\2025年\安义众和化工安全验收\江西分公司-化工-江西众和化工有限公司年产2400吨水性化环保型农药制剂建设项目（一期）安全验收评价报告-修改稿\出版法定报告需要有的资料\1、现场照片\2现场考察1，2024年12月25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已完成报告1\2025年\安义众和化工安全验收\江西分公司-化工-江西众和化工有限公司年产2400吨水性化环保型农药制剂建设项目（一期）安全验收评价报告-修改稿\出版法定报告需要有的资料\1、现场照片\2现场考察1，2024年12月25日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3D2CCE"/>
    <w:p w14:paraId="44FE1EE7">
      <w:r>
        <w:drawing>
          <wp:inline distT="0" distB="0" distL="0" distR="0">
            <wp:extent cx="5476240" cy="7305040"/>
            <wp:effectExtent l="0" t="0" r="0" b="0"/>
            <wp:docPr id="3" name="图片 3" descr="G:\已完成报告1\2025年\安义众和化工安全验收\江西分公司-化工-江西众和化工有限公司年产2400吨水性化环保型农药制剂建设项目（一期）安全验收评价报告-修改稿\出版法定报告需要有的资料\1、现场照片\4现场核查2，2025年4月2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已完成报告1\2025年\安义众和化工安全验收\江西分公司-化工-江西众和化工有限公司年产2400吨水性化环保型农药制剂建设项目（一期）安全验收评价报告-修改稿\出版法定报告需要有的资料\1、现场照片\4现场核查2，2025年4月20日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D09D"/>
    <w:p w14:paraId="001C0BCD"/>
    <w:p w14:paraId="669B7BF7"/>
    <w:p w14:paraId="72E2C8F7"/>
    <w:p w14:paraId="14D2B4FB"/>
    <w:p w14:paraId="6E1C28F3"/>
    <w:p w14:paraId="434B3415">
      <w:r>
        <w:drawing>
          <wp:inline distT="0" distB="0" distL="0" distR="0">
            <wp:extent cx="5295265" cy="7675880"/>
            <wp:effectExtent l="0" t="0" r="635" b="1270"/>
            <wp:docPr id="16" name="图片 16" descr="E:\xwechat_files\pxb2003_5210\temp\InputTemp\e446e3b6-facb-4cbf-bc8e-f1b60ce3cd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xwechat_files\pxb2003_5210\temp\InputTemp\e446e3b6-facb-4cbf-bc8e-f1b60ce3cda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95D2"/>
    <w:p w14:paraId="5C254D78"/>
    <w:p w14:paraId="21D813F4"/>
    <w:p w14:paraId="72BBCFBF"/>
    <w:p w14:paraId="0013EA20">
      <w:r>
        <w:drawing>
          <wp:inline distT="0" distB="0" distL="0" distR="0">
            <wp:extent cx="7626350" cy="5717540"/>
            <wp:effectExtent l="0" t="0" r="16510" b="12700"/>
            <wp:docPr id="6" name="图片 6" descr="E:\xwechat_files\pxb2003_5210\temp\RWTemp\2025-08\9e20f478899dc29eb19741386f9343c8\b87bb938fed66d54090117b5e533f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xwechat_files\pxb2003_5210\temp\RWTemp\2025-08\9e20f478899dc29eb19741386f9343c8\b87bb938fed66d54090117b5e533f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635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61E0"/>
    <w:p w14:paraId="7A191A24"/>
    <w:p w14:paraId="094B6402"/>
    <w:p w14:paraId="16AE0AD6">
      <w:r>
        <w:drawing>
          <wp:inline distT="0" distB="0" distL="0" distR="0">
            <wp:extent cx="7743190" cy="5806440"/>
            <wp:effectExtent l="0" t="0" r="3810" b="10160"/>
            <wp:docPr id="15" name="图片 15" descr="E:\xwechat_files\pxb2003_5210\temp\RWTemp\2025-08\ff8743ec212b3e3b1144ead0d859a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xwechat_files\pxb2003_5210\temp\RWTemp\2025-08\ff8743ec212b3e3b1144ead0d859a2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319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2814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105EC"/>
    <w:rsid w:val="004340C8"/>
    <w:rsid w:val="00443349"/>
    <w:rsid w:val="004D1AF7"/>
    <w:rsid w:val="005858BE"/>
    <w:rsid w:val="005B1B0B"/>
    <w:rsid w:val="00702271"/>
    <w:rsid w:val="00727066"/>
    <w:rsid w:val="00756850"/>
    <w:rsid w:val="00787BD2"/>
    <w:rsid w:val="007A2261"/>
    <w:rsid w:val="007C3A9A"/>
    <w:rsid w:val="00802085"/>
    <w:rsid w:val="0087702C"/>
    <w:rsid w:val="008F01AE"/>
    <w:rsid w:val="009570B9"/>
    <w:rsid w:val="009A19ED"/>
    <w:rsid w:val="009A48D7"/>
    <w:rsid w:val="00B55092"/>
    <w:rsid w:val="00C341C7"/>
    <w:rsid w:val="00C65B3D"/>
    <w:rsid w:val="00C75118"/>
    <w:rsid w:val="00C82162"/>
    <w:rsid w:val="00CA7067"/>
    <w:rsid w:val="00CD7575"/>
    <w:rsid w:val="00D40559"/>
    <w:rsid w:val="00D93BC0"/>
    <w:rsid w:val="00D950DC"/>
    <w:rsid w:val="00DA562A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CEC570C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next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  <w:style w:type="paragraph" w:customStyle="1" w:styleId="48">
    <w:name w:val="05现表题"/>
    <w:basedOn w:val="1"/>
    <w:link w:val="49"/>
    <w:qFormat/>
    <w:uiPriority w:val="0"/>
    <w:pPr>
      <w:jc w:val="center"/>
    </w:pPr>
    <w:rPr>
      <w:rFonts w:ascii="宋体" w:hAnsi="宋体"/>
      <w:b/>
      <w:bCs/>
      <w:sz w:val="24"/>
      <w:szCs w:val="28"/>
      <w:lang w:val="zh-CN"/>
    </w:rPr>
  </w:style>
  <w:style w:type="character" w:customStyle="1" w:styleId="49">
    <w:name w:val="05现表题 字符"/>
    <w:link w:val="48"/>
    <w:qFormat/>
    <w:uiPriority w:val="0"/>
    <w:rPr>
      <w:rFonts w:ascii="宋体" w:hAnsi="宋体"/>
      <w:b/>
      <w:bCs/>
      <w:kern w:val="2"/>
      <w:sz w:val="24"/>
      <w:szCs w:val="2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873</Words>
  <Characters>1084</Characters>
  <Lines>8</Lines>
  <Paragraphs>2</Paragraphs>
  <TotalTime>0</TotalTime>
  <ScaleCrop>false</ScaleCrop>
  <LinksUpToDate>false</LinksUpToDate>
  <CharactersWithSpaces>1084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2025-09-18T02:33:36Z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CF4A7C9B14FA44EBAF6ABBFE76CFD9FE_13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