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泰安泰山油惠加油站有限公司</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50A5A161">
            <w:pPr>
              <w:pStyle w:val="6"/>
              <w:spacing w:before="57" w:line="261" w:lineRule="auto"/>
              <w:ind w:right="318"/>
              <w:jc w:val="center"/>
            </w:pPr>
            <w:r>
              <w:rPr>
                <w:rFonts w:hint="eastAsia"/>
                <w:spacing w:val="9"/>
                <w:lang w:eastAsia="zh-CN"/>
              </w:rPr>
              <w:t>泰安泰山油惠加油站有限公司</w:t>
            </w: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01873AC1">
            <w:pPr>
              <w:pStyle w:val="6"/>
              <w:spacing w:before="30" w:line="371" w:lineRule="auto"/>
              <w:ind w:right="38"/>
              <w:jc w:val="both"/>
              <w:rPr>
                <w:rFonts w:hint="default" w:ascii="宋体" w:hAnsi="宋体" w:eastAsia="宋体" w:cs="宋体"/>
                <w:lang w:val="en-US" w:eastAsia="zh-CN"/>
              </w:rPr>
            </w:pPr>
            <w:r>
              <w:rPr>
                <w:rFonts w:hint="default" w:ascii="宋体" w:hAnsi="宋体" w:eastAsia="宋体" w:cs="宋体"/>
                <w:lang w:val="en-US" w:eastAsia="zh-CN"/>
              </w:rPr>
              <w:t>该加油站主要建有站房、罩棚、油罐区、加油区等。加油区在站房南侧，现有2台单枪加油机（柴油），3台双枪加油机（92#/95#汽油），均为自吸式；油罐区位于站房北侧非车行道下方，现有4台双层储罐（2台30m392#汽油罐、1台30m395#汽油罐、1台30m3柴油罐；4台油罐均安装了液位仪、检漏仪；汽油、柴油卸油口位于罐区东侧；通气管3根位于罐区内，该站设有三次油气回收系统（卸油油气回收系统、加油油气回收系统、油气回收处理装置）；洗车棚位于加油区东侧、1#和2#仓库位于站房东侧；按《汽车加油加气加氢站技术标准》GB50156-2021标准规定：油罐总储量为120m³，柴油储罐容积折半计入总容积为105m³，该站属二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400" w:firstLineChars="1200"/>
              <w:rPr>
                <w:rFonts w:hint="eastAsia" w:eastAsia="宋体"/>
                <w:lang w:eastAsia="zh-CN"/>
              </w:rPr>
            </w:pPr>
            <w:r>
              <w:rPr>
                <w:rFonts w:hint="eastAsia"/>
                <w:lang w:val="en-US" w:eastAsia="zh-CN"/>
              </w:rPr>
              <w:t>辛 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赵云峰</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default" w:eastAsia="宋体"/>
                <w:lang w:val="en-US" w:eastAsia="zh-CN"/>
              </w:rPr>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赵燕</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rPr>
                <w:rFonts w:hint="eastAsia" w:eastAsia="宋体"/>
                <w:lang w:eastAsia="zh-CN"/>
              </w:rPr>
            </w:pPr>
            <w:r>
              <w:rPr>
                <w:rFonts w:hint="eastAsia"/>
                <w:spacing w:val="7"/>
                <w:lang w:val="en-US" w:eastAsia="zh-CN"/>
              </w:rPr>
              <w:t>孙虎</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5.6.21</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5.8.1</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5.8.2</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w:t>
            </w:r>
            <w:r>
              <w:rPr>
                <w:rFonts w:hint="eastAsia" w:ascii="Times New Roman" w:hAnsi="Times New Roman" w:eastAsia="宋体" w:cs="Times New Roman"/>
                <w:spacing w:val="6"/>
                <w:lang w:val="en-US" w:eastAsia="zh-CN"/>
              </w:rPr>
              <w:t>5.8.8</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7D5A2701">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9635" cy="8484870"/>
            <wp:effectExtent l="0" t="0" r="12065" b="11430"/>
            <wp:docPr id="1" name="图片 1" descr="6a46fd756bdbbf00e96cde0f6ded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46fd756bdbbf00e96cde0f6dedfd4"/>
                    <pic:cNvPicPr>
                      <a:picLocks noChangeAspect="1"/>
                    </pic:cNvPicPr>
                  </pic:nvPicPr>
                  <pic:blipFill>
                    <a:blip r:embed="rId6"/>
                    <a:stretch>
                      <a:fillRect/>
                    </a:stretch>
                  </pic:blipFill>
                  <pic:spPr>
                    <a:xfrm>
                      <a:off x="0" y="0"/>
                      <a:ext cx="5969635" cy="8484870"/>
                    </a:xfrm>
                    <a:prstGeom prst="rect">
                      <a:avLst/>
                    </a:prstGeom>
                  </pic:spPr>
                </pic:pic>
              </a:graphicData>
            </a:graphic>
          </wp:inline>
        </w:drawing>
      </w:r>
    </w:p>
    <w:p w14:paraId="472F9B23">
      <w:pPr>
        <w:pStyle w:val="2"/>
        <w:ind w:left="0" w:leftChars="0" w:firstLine="0" w:firstLineChars="0"/>
        <w:rPr>
          <w:rFonts w:hint="eastAsia" w:eastAsia="宋体"/>
          <w:lang w:eastAsia="zh-CN"/>
        </w:rPr>
      </w:pPr>
    </w:p>
    <w:p w14:paraId="008CC86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9635" cy="8830310"/>
            <wp:effectExtent l="0" t="0" r="12065" b="8890"/>
            <wp:docPr id="2" name="图片 2" descr="0e566d73d98dfe1f0754bf9ca9a7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566d73d98dfe1f0754bf9ca9a7c66"/>
                    <pic:cNvPicPr>
                      <a:picLocks noChangeAspect="1"/>
                    </pic:cNvPicPr>
                  </pic:nvPicPr>
                  <pic:blipFill>
                    <a:blip r:embed="rId7"/>
                    <a:stretch>
                      <a:fillRect/>
                    </a:stretch>
                  </pic:blipFill>
                  <pic:spPr>
                    <a:xfrm>
                      <a:off x="0" y="0"/>
                      <a:ext cx="5969635" cy="8830310"/>
                    </a:xfrm>
                    <a:prstGeom prst="rect">
                      <a:avLst/>
                    </a:prstGeom>
                  </pic:spPr>
                </pic:pic>
              </a:graphicData>
            </a:graphic>
          </wp:inline>
        </w:drawing>
      </w:r>
      <w:r>
        <w:rPr>
          <w:rFonts w:hint="eastAsia" w:eastAsia="宋体"/>
          <w:lang w:eastAsia="zh-CN"/>
        </w:rPr>
        <w:drawing>
          <wp:inline distT="0" distB="0" distL="114300" distR="114300">
            <wp:extent cx="5876290" cy="9067165"/>
            <wp:effectExtent l="0" t="0" r="10160" b="635"/>
            <wp:docPr id="3" name="图片 3" descr="4a2dfc4fef5b8440a4e40b22d5a0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2dfc4fef5b8440a4e40b22d5a05fd"/>
                    <pic:cNvPicPr>
                      <a:picLocks noChangeAspect="1"/>
                    </pic:cNvPicPr>
                  </pic:nvPicPr>
                  <pic:blipFill>
                    <a:blip r:embed="rId8"/>
                    <a:stretch>
                      <a:fillRect/>
                    </a:stretch>
                  </pic:blipFill>
                  <pic:spPr>
                    <a:xfrm>
                      <a:off x="0" y="0"/>
                      <a:ext cx="5876290" cy="9067165"/>
                    </a:xfrm>
                    <a:prstGeom prst="rect">
                      <a:avLst/>
                    </a:prstGeom>
                  </pic:spPr>
                </pic:pic>
              </a:graphicData>
            </a:graphic>
          </wp:inline>
        </w:drawing>
      </w:r>
    </w:p>
    <w:p w14:paraId="74A35CD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30265" cy="4447540"/>
            <wp:effectExtent l="0" t="0" r="13335" b="10160"/>
            <wp:docPr id="4" name="图片 4" descr="微信图片_2025080510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805104652"/>
                    <pic:cNvPicPr>
                      <a:picLocks noChangeAspect="1"/>
                    </pic:cNvPicPr>
                  </pic:nvPicPr>
                  <pic:blipFill>
                    <a:blip r:embed="rId9"/>
                    <a:stretch>
                      <a:fillRect/>
                    </a:stretch>
                  </pic:blipFill>
                  <pic:spPr>
                    <a:xfrm>
                      <a:off x="0" y="0"/>
                      <a:ext cx="5930265" cy="4447540"/>
                    </a:xfrm>
                    <a:prstGeom prst="rect">
                      <a:avLst/>
                    </a:prstGeom>
                  </pic:spPr>
                </pic:pic>
              </a:graphicData>
            </a:graphic>
          </wp:inline>
        </w:drawing>
      </w:r>
      <w:r>
        <w:rPr>
          <w:rFonts w:hint="eastAsia" w:eastAsia="宋体"/>
          <w:lang w:eastAsia="zh-CN"/>
        </w:rPr>
        <w:drawing>
          <wp:inline distT="0" distB="0" distL="114300" distR="114300">
            <wp:extent cx="5930265" cy="4447540"/>
            <wp:effectExtent l="0" t="0" r="13335" b="10160"/>
            <wp:docPr id="5" name="图片 5" descr="微信图片_2025080510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805104644"/>
                    <pic:cNvPicPr>
                      <a:picLocks noChangeAspect="1"/>
                    </pic:cNvPicPr>
                  </pic:nvPicPr>
                  <pic:blipFill>
                    <a:blip r:embed="rId10"/>
                    <a:stretch>
                      <a:fillRect/>
                    </a:stretch>
                  </pic:blipFill>
                  <pic:spPr>
                    <a:xfrm>
                      <a:off x="0" y="0"/>
                      <a:ext cx="5930265" cy="4447540"/>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02634395"/>
      <w:bookmarkStart w:id="1" w:name="_Toc102633895"/>
      <w:bookmarkStart w:id="2" w:name="_Toc102634226"/>
      <w:bookmarkStart w:id="3" w:name="_Toc15033742"/>
      <w:bookmarkStart w:id="4" w:name="_Toc102633969"/>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3970"/>
      <w:bookmarkStart w:id="6" w:name="_Toc102633896"/>
      <w:bookmarkStart w:id="7" w:name="_Toc272364524"/>
      <w:bookmarkStart w:id="8" w:name="_Toc208733856"/>
      <w:bookmarkStart w:id="9" w:name="_Toc102634227"/>
      <w:bookmarkStart w:id="10" w:name="_Toc102634396"/>
      <w:bookmarkStart w:id="11" w:name="_Toc26504"/>
      <w:bookmarkStart w:id="12" w:name="_Toc30066"/>
      <w:bookmarkStart w:id="13" w:name="_Toc15033743"/>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5AA9B854">
      <w:pPr>
        <w:adjustRightInd w:val="0"/>
        <w:snapToGrid w:val="0"/>
        <w:spacing w:line="360" w:lineRule="auto"/>
        <w:ind w:firstLine="560" w:firstLineChars="200"/>
        <w:rPr>
          <w:rFonts w:ascii="宋体"/>
          <w:color w:val="auto"/>
          <w:highlight w:val="none"/>
        </w:rPr>
      </w:pPr>
      <w:bookmarkStart w:id="14" w:name="_Toc102634255"/>
      <w:bookmarkStart w:id="15" w:name="_Toc102633906"/>
      <w:bookmarkStart w:id="16" w:name="_Toc102634406"/>
      <w:bookmarkStart w:id="17" w:name="_Toc102633980"/>
      <w:r>
        <w:rPr>
          <w:rFonts w:hint="eastAsia" w:ascii="宋体" w:hAnsi="宋体"/>
          <w:color w:val="auto"/>
          <w:sz w:val="28"/>
          <w:szCs w:val="28"/>
          <w:highlight w:val="none"/>
          <w:lang w:eastAsia="zh-CN"/>
        </w:rPr>
        <w:t>泰安泰山油惠加油站有限公司</w:t>
      </w:r>
      <w:r>
        <w:rPr>
          <w:rFonts w:hint="eastAsia" w:ascii="宋体" w:hAnsi="宋体"/>
          <w:color w:val="auto"/>
          <w:sz w:val="28"/>
          <w:szCs w:val="28"/>
          <w:highlight w:val="none"/>
        </w:rPr>
        <w:t>位于</w:t>
      </w:r>
      <w:r>
        <w:rPr>
          <w:rFonts w:hint="eastAsia" w:ascii="宋体" w:hAnsi="宋体"/>
          <w:color w:val="auto"/>
          <w:sz w:val="28"/>
          <w:highlight w:val="none"/>
          <w:lang w:eastAsia="zh-CN"/>
        </w:rPr>
        <w:t>泰安市岱岳区粥店街道东岳大街西首公交公司停车场</w:t>
      </w:r>
      <w:r>
        <w:rPr>
          <w:rFonts w:hint="eastAsia" w:ascii="宋体" w:hAnsi="宋体"/>
          <w:color w:val="auto"/>
          <w:sz w:val="28"/>
          <w:szCs w:val="28"/>
          <w:highlight w:val="none"/>
        </w:rPr>
        <w:t>，</w:t>
      </w:r>
      <w:r>
        <w:rPr>
          <w:rFonts w:hint="eastAsia" w:ascii="宋体" w:hAnsi="宋体" w:cs="宋体"/>
          <w:color w:val="auto"/>
          <w:sz w:val="28"/>
          <w:szCs w:val="28"/>
          <w:highlight w:val="none"/>
        </w:rPr>
        <w:t>加油站</w:t>
      </w:r>
      <w:r>
        <w:rPr>
          <w:rFonts w:hint="eastAsia" w:ascii="宋体" w:hAnsi="宋体"/>
          <w:snapToGrid w:val="0"/>
          <w:color w:val="auto"/>
          <w:kern w:val="0"/>
          <w:sz w:val="28"/>
          <w:highlight w:val="none"/>
        </w:rPr>
        <w:t>西侧是</w:t>
      </w:r>
      <w:r>
        <w:rPr>
          <w:rFonts w:hint="eastAsia" w:ascii="宋体" w:hAnsi="宋体"/>
          <w:snapToGrid w:val="0"/>
          <w:color w:val="auto"/>
          <w:kern w:val="0"/>
          <w:sz w:val="28"/>
          <w:highlight w:val="none"/>
          <w:lang w:val="en-US" w:eastAsia="zh-CN"/>
        </w:rPr>
        <w:t>公交公司停车场，北侧是公交公司停车场、10KV架空电力线、体育场北街（城市支路）</w:t>
      </w:r>
      <w:r>
        <w:rPr>
          <w:rFonts w:hint="eastAsia" w:ascii="宋体" w:hAnsi="宋体"/>
          <w:snapToGrid w:val="0"/>
          <w:color w:val="auto"/>
          <w:kern w:val="0"/>
          <w:sz w:val="28"/>
          <w:highlight w:val="none"/>
        </w:rPr>
        <w:t>，东侧是</w:t>
      </w:r>
      <w:r>
        <w:rPr>
          <w:rFonts w:hint="eastAsia" w:ascii="宋体" w:hAnsi="宋体"/>
          <w:snapToGrid w:val="0"/>
          <w:color w:val="auto"/>
          <w:kern w:val="0"/>
          <w:sz w:val="28"/>
          <w:highlight w:val="none"/>
          <w:lang w:val="en-US" w:eastAsia="zh-CN"/>
        </w:rPr>
        <w:t>泰安市公安局刑事侦查支队、公交公司工具间及仓库，</w:t>
      </w:r>
      <w:r>
        <w:rPr>
          <w:rFonts w:hint="eastAsia" w:ascii="宋体" w:hAnsi="宋体"/>
          <w:snapToGrid w:val="0"/>
          <w:color w:val="auto"/>
          <w:kern w:val="0"/>
          <w:sz w:val="28"/>
          <w:highlight w:val="none"/>
        </w:rPr>
        <w:t>南侧是</w:t>
      </w:r>
      <w:r>
        <w:rPr>
          <w:rFonts w:hint="eastAsia" w:ascii="宋体" w:hAnsi="宋体"/>
          <w:snapToGrid w:val="0"/>
          <w:color w:val="auto"/>
          <w:kern w:val="0"/>
          <w:sz w:val="28"/>
          <w:highlight w:val="none"/>
          <w:lang w:val="en-US" w:eastAsia="zh-CN"/>
        </w:rPr>
        <w:t>站外充电桩（国家电网）、东岳大街</w:t>
      </w:r>
      <w:r>
        <w:rPr>
          <w:rFonts w:hint="eastAsia" w:ascii="宋体" w:hAnsi="宋体"/>
          <w:color w:val="auto"/>
          <w:sz w:val="28"/>
          <w:szCs w:val="28"/>
          <w:highlight w:val="none"/>
          <w:lang w:eastAsia="zh-CN"/>
        </w:rPr>
        <w:t>。</w:t>
      </w:r>
      <w:r>
        <w:rPr>
          <w:rFonts w:hint="eastAsia" w:ascii="宋体" w:hAnsi="宋体"/>
          <w:color w:val="auto"/>
          <w:sz w:val="28"/>
          <w:highlight w:val="none"/>
        </w:rPr>
        <w:t>该站经营许可范围为</w:t>
      </w:r>
      <w:r>
        <w:rPr>
          <w:rFonts w:hint="eastAsia" w:asciiTheme="minorEastAsia" w:hAnsiTheme="minorEastAsia" w:eastAsiaTheme="minorEastAsia" w:cstheme="minorEastAsia"/>
          <w:color w:val="auto"/>
          <w:sz w:val="28"/>
          <w:szCs w:val="28"/>
          <w:highlight w:val="none"/>
        </w:rPr>
        <w:t>汽油、</w:t>
      </w:r>
      <w:r>
        <w:rPr>
          <w:rFonts w:hint="eastAsia" w:ascii="宋体" w:hAnsi="宋体"/>
          <w:color w:val="auto"/>
          <w:sz w:val="28"/>
          <w:highlight w:val="none"/>
        </w:rPr>
        <w:t>柴油，现其主要经营储存汽油、0#柴油（换季销售-</w:t>
      </w:r>
      <w:r>
        <w:rPr>
          <w:rFonts w:ascii="宋体" w:hAnsi="宋体"/>
          <w:color w:val="auto"/>
          <w:sz w:val="28"/>
          <w:highlight w:val="none"/>
        </w:rPr>
        <w:t>10#</w:t>
      </w:r>
      <w:r>
        <w:rPr>
          <w:rFonts w:hint="eastAsia" w:ascii="宋体" w:hAnsi="宋体"/>
          <w:color w:val="auto"/>
          <w:sz w:val="28"/>
          <w:highlight w:val="none"/>
        </w:rPr>
        <w:t>柴油）</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此次现状评价报告与上次报告相比，站内</w:t>
      </w:r>
      <w:r>
        <w:rPr>
          <w:rFonts w:hint="eastAsia" w:ascii="宋体" w:hAnsi="宋体"/>
          <w:color w:val="auto"/>
          <w:sz w:val="28"/>
          <w:highlight w:val="none"/>
          <w:lang w:val="en-US" w:eastAsia="zh-CN"/>
        </w:rPr>
        <w:t>拆除了LNG储罐、LNG加气机、LNG卸车点、LNG放气管、汽化器及其配电设施，启用原已停用的98#汽油罐，并改为92#汽油罐，</w:t>
      </w:r>
      <w:r>
        <w:rPr>
          <w:rFonts w:hint="eastAsia" w:ascii="宋体" w:hAnsi="宋体"/>
          <w:color w:val="auto"/>
          <w:sz w:val="28"/>
          <w:highlight w:val="none"/>
        </w:rPr>
        <w:t>周边环境、主要建构筑物未发生变化。</w:t>
      </w:r>
    </w:p>
    <w:p w14:paraId="7C58F90F">
      <w:pPr>
        <w:pStyle w:val="8"/>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Cs w:val="28"/>
          <w:highlight w:val="none"/>
        </w:rPr>
        <w:t>该加油站主要建有站房、罩棚、油罐区、加油区等。加油区在站房</w:t>
      </w:r>
      <w:r>
        <w:rPr>
          <w:rFonts w:hint="eastAsia" w:ascii="宋体" w:hAnsi="宋体"/>
          <w:color w:val="auto"/>
          <w:szCs w:val="28"/>
          <w:highlight w:val="none"/>
          <w:lang w:val="en-US" w:eastAsia="zh-CN"/>
        </w:rPr>
        <w:t>南</w:t>
      </w:r>
      <w:r>
        <w:rPr>
          <w:rFonts w:hint="eastAsia" w:ascii="宋体" w:hAnsi="宋体"/>
          <w:color w:val="auto"/>
          <w:szCs w:val="28"/>
          <w:highlight w:val="none"/>
        </w:rPr>
        <w:t>侧，</w:t>
      </w:r>
      <w:r>
        <w:rPr>
          <w:rFonts w:hint="eastAsia" w:ascii="宋体" w:hAnsi="宋体"/>
          <w:color w:val="auto"/>
          <w:kern w:val="2"/>
          <w:szCs w:val="21"/>
          <w:highlight w:val="none"/>
        </w:rPr>
        <w:t>现有</w:t>
      </w:r>
      <w:r>
        <w:rPr>
          <w:rFonts w:hint="eastAsia" w:ascii="宋体" w:hAnsi="宋体"/>
          <w:color w:val="auto"/>
          <w:kern w:val="2"/>
          <w:szCs w:val="21"/>
          <w:highlight w:val="none"/>
          <w:lang w:val="en-US" w:eastAsia="zh-CN"/>
        </w:rPr>
        <w:t>2</w:t>
      </w:r>
      <w:r>
        <w:rPr>
          <w:rFonts w:hint="eastAsia"/>
          <w:color w:val="auto"/>
          <w:highlight w:val="none"/>
        </w:rPr>
        <w:t>台</w:t>
      </w:r>
      <w:r>
        <w:rPr>
          <w:rFonts w:hint="eastAsia"/>
          <w:color w:val="auto"/>
          <w:highlight w:val="none"/>
          <w:lang w:val="en-US" w:eastAsia="zh-CN"/>
        </w:rPr>
        <w:t>单</w:t>
      </w:r>
      <w:r>
        <w:rPr>
          <w:rFonts w:hint="eastAsia"/>
          <w:color w:val="auto"/>
          <w:highlight w:val="none"/>
        </w:rPr>
        <w:t>枪加油机（</w:t>
      </w:r>
      <w:r>
        <w:rPr>
          <w:rFonts w:hint="eastAsia"/>
          <w:color w:val="auto"/>
          <w:highlight w:val="none"/>
          <w:lang w:val="en-US" w:eastAsia="zh-CN"/>
        </w:rPr>
        <w:t>柴油</w:t>
      </w:r>
      <w:r>
        <w:rPr>
          <w:rFonts w:hint="eastAsia"/>
          <w:color w:val="auto"/>
          <w:highlight w:val="none"/>
        </w:rPr>
        <w:t>），</w:t>
      </w:r>
      <w:r>
        <w:rPr>
          <w:rFonts w:hint="eastAsia"/>
          <w:color w:val="auto"/>
          <w:highlight w:val="none"/>
          <w:lang w:val="en-US" w:eastAsia="zh-CN"/>
        </w:rPr>
        <w:t>3</w:t>
      </w:r>
      <w:r>
        <w:rPr>
          <w:rFonts w:hint="eastAsia"/>
          <w:color w:val="auto"/>
          <w:highlight w:val="none"/>
        </w:rPr>
        <w:t>台</w:t>
      </w:r>
      <w:r>
        <w:rPr>
          <w:rFonts w:hint="eastAsia"/>
          <w:color w:val="auto"/>
          <w:highlight w:val="none"/>
          <w:lang w:val="en-US" w:eastAsia="zh-CN"/>
        </w:rPr>
        <w:t>双</w:t>
      </w:r>
      <w:r>
        <w:rPr>
          <w:rFonts w:hint="eastAsia"/>
          <w:color w:val="auto"/>
          <w:highlight w:val="none"/>
        </w:rPr>
        <w:t>枪加油机（92#</w:t>
      </w:r>
      <w:r>
        <w:rPr>
          <w:rFonts w:hint="eastAsia"/>
          <w:color w:val="auto"/>
          <w:highlight w:val="none"/>
          <w:lang w:val="en-US" w:eastAsia="zh-CN"/>
        </w:rPr>
        <w:t>/95#</w:t>
      </w:r>
      <w:r>
        <w:rPr>
          <w:rFonts w:hint="eastAsia"/>
          <w:color w:val="auto"/>
          <w:highlight w:val="none"/>
        </w:rPr>
        <w:t>汽油）</w:t>
      </w:r>
      <w:r>
        <w:rPr>
          <w:rFonts w:hint="eastAsia" w:ascii="宋体" w:hAnsi="宋体"/>
          <w:color w:val="auto"/>
          <w:kern w:val="2"/>
          <w:szCs w:val="21"/>
          <w:highlight w:val="none"/>
        </w:rPr>
        <w:t>，均为</w:t>
      </w:r>
      <w:r>
        <w:rPr>
          <w:rFonts w:hint="eastAsia" w:ascii="宋体" w:hAnsi="宋体"/>
          <w:color w:val="auto"/>
          <w:kern w:val="2"/>
          <w:szCs w:val="21"/>
          <w:highlight w:val="none"/>
          <w:lang w:val="en-US" w:eastAsia="zh-CN"/>
        </w:rPr>
        <w:t>自吸</w:t>
      </w:r>
      <w:r>
        <w:rPr>
          <w:rFonts w:hint="eastAsia" w:ascii="宋体" w:hAnsi="宋体"/>
          <w:color w:val="auto"/>
          <w:kern w:val="2"/>
          <w:szCs w:val="21"/>
          <w:highlight w:val="none"/>
        </w:rPr>
        <w:t>式</w:t>
      </w:r>
      <w:r>
        <w:rPr>
          <w:rFonts w:hint="eastAsia" w:ascii="宋体"/>
          <w:color w:val="auto"/>
          <w:highlight w:val="none"/>
        </w:rPr>
        <w:t>；</w:t>
      </w:r>
      <w:r>
        <w:rPr>
          <w:rFonts w:hint="eastAsia" w:ascii="宋体" w:hAnsi="宋体"/>
          <w:color w:val="auto"/>
          <w:szCs w:val="28"/>
          <w:highlight w:val="none"/>
        </w:rPr>
        <w:t>油罐区位于站房</w:t>
      </w:r>
      <w:r>
        <w:rPr>
          <w:rFonts w:hint="eastAsia" w:ascii="宋体" w:hAnsi="宋体"/>
          <w:color w:val="auto"/>
          <w:szCs w:val="28"/>
          <w:highlight w:val="none"/>
          <w:lang w:val="en-US" w:eastAsia="zh-CN"/>
        </w:rPr>
        <w:t>北</w:t>
      </w:r>
      <w:r>
        <w:rPr>
          <w:rFonts w:hint="eastAsia" w:ascii="宋体" w:hAnsi="宋体"/>
          <w:color w:val="auto"/>
          <w:szCs w:val="28"/>
          <w:highlight w:val="none"/>
        </w:rPr>
        <w:t>侧</w:t>
      </w:r>
      <w:r>
        <w:rPr>
          <w:rFonts w:hint="eastAsia" w:ascii="宋体" w:hAnsi="宋体"/>
          <w:color w:val="auto"/>
          <w:szCs w:val="28"/>
          <w:highlight w:val="none"/>
          <w:lang w:val="en-US" w:eastAsia="zh-CN"/>
        </w:rPr>
        <w:t>非</w:t>
      </w:r>
      <w:r>
        <w:rPr>
          <w:rFonts w:hint="eastAsia" w:ascii="宋体" w:hAnsi="宋体"/>
          <w:color w:val="auto"/>
          <w:szCs w:val="28"/>
          <w:highlight w:val="none"/>
        </w:rPr>
        <w:t>车行道下方，</w:t>
      </w:r>
      <w:r>
        <w:rPr>
          <w:rFonts w:hint="eastAsia" w:ascii="宋体"/>
          <w:color w:val="auto"/>
          <w:highlight w:val="none"/>
        </w:rPr>
        <w:t>现有</w:t>
      </w:r>
      <w:r>
        <w:rPr>
          <w:rFonts w:hint="eastAsia" w:ascii="宋体"/>
          <w:color w:val="auto"/>
          <w:highlight w:val="none"/>
          <w:lang w:val="en-US" w:eastAsia="zh-CN"/>
        </w:rPr>
        <w:t>4</w:t>
      </w:r>
      <w:r>
        <w:rPr>
          <w:rFonts w:hint="eastAsia"/>
          <w:color w:val="auto"/>
          <w:highlight w:val="none"/>
        </w:rPr>
        <w:t>台双层储罐（2台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92#汽油罐、1台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95#汽油罐、1台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ascii="宋体" w:hAnsi="宋体"/>
          <w:color w:val="auto"/>
          <w:szCs w:val="28"/>
          <w:highlight w:val="none"/>
        </w:rPr>
        <w:t>；</w:t>
      </w:r>
      <w:r>
        <w:rPr>
          <w:rFonts w:hint="eastAsia" w:ascii="宋体" w:hAnsi="宋体"/>
          <w:color w:val="auto"/>
          <w:szCs w:val="28"/>
          <w:highlight w:val="none"/>
          <w:lang w:val="en-US" w:eastAsia="zh-CN"/>
        </w:rPr>
        <w:t>4</w:t>
      </w:r>
      <w:r>
        <w:rPr>
          <w:rFonts w:hint="eastAsia" w:ascii="宋体" w:hAnsi="宋体"/>
          <w:color w:val="auto"/>
          <w:szCs w:val="28"/>
          <w:highlight w:val="none"/>
        </w:rPr>
        <w:t>台油罐均安装了液位仪、检漏仪</w:t>
      </w:r>
      <w:r>
        <w:rPr>
          <w:rFonts w:hint="eastAsia" w:ascii="宋体"/>
          <w:color w:val="auto"/>
          <w:highlight w:val="none"/>
        </w:rPr>
        <w:t>；汽油、柴油卸油口位于</w:t>
      </w:r>
      <w:r>
        <w:rPr>
          <w:rFonts w:hint="eastAsia" w:ascii="宋体"/>
          <w:color w:val="auto"/>
          <w:highlight w:val="none"/>
          <w:lang w:val="en-US" w:eastAsia="zh-CN"/>
        </w:rPr>
        <w:t>罐</w:t>
      </w:r>
      <w:r>
        <w:rPr>
          <w:rFonts w:hint="eastAsia" w:ascii="宋体"/>
          <w:color w:val="auto"/>
          <w:highlight w:val="none"/>
        </w:rPr>
        <w:t>区</w:t>
      </w:r>
      <w:r>
        <w:rPr>
          <w:rFonts w:hint="eastAsia" w:ascii="宋体"/>
          <w:color w:val="auto"/>
          <w:highlight w:val="none"/>
          <w:lang w:val="en-US" w:eastAsia="zh-CN"/>
        </w:rPr>
        <w:t>东</w:t>
      </w:r>
      <w:r>
        <w:rPr>
          <w:rFonts w:hint="eastAsia" w:ascii="宋体"/>
          <w:color w:val="auto"/>
          <w:highlight w:val="none"/>
        </w:rPr>
        <w:t>侧；</w:t>
      </w:r>
      <w:r>
        <w:rPr>
          <w:rFonts w:hint="eastAsia" w:ascii="宋体" w:hAnsi="宋体"/>
          <w:color w:val="auto"/>
          <w:szCs w:val="28"/>
          <w:highlight w:val="none"/>
        </w:rPr>
        <w:t>通气管</w:t>
      </w:r>
      <w:r>
        <w:rPr>
          <w:rFonts w:hint="eastAsia" w:ascii="宋体" w:hAnsi="宋体"/>
          <w:color w:val="auto"/>
          <w:szCs w:val="28"/>
          <w:highlight w:val="none"/>
          <w:lang w:val="en-US" w:eastAsia="zh-CN"/>
        </w:rPr>
        <w:t>3</w:t>
      </w:r>
      <w:r>
        <w:rPr>
          <w:rFonts w:hint="eastAsia" w:ascii="宋体" w:hAnsi="宋体"/>
          <w:color w:val="auto"/>
          <w:szCs w:val="28"/>
          <w:highlight w:val="none"/>
        </w:rPr>
        <w:t>根位于</w:t>
      </w:r>
      <w:r>
        <w:rPr>
          <w:rFonts w:hint="eastAsia" w:ascii="宋体" w:hAnsi="宋体"/>
          <w:color w:val="auto"/>
          <w:szCs w:val="28"/>
          <w:highlight w:val="none"/>
          <w:lang w:val="en-US" w:eastAsia="zh-CN"/>
        </w:rPr>
        <w:t>罐区内</w:t>
      </w:r>
      <w:r>
        <w:rPr>
          <w:rFonts w:hint="eastAsia" w:ascii="宋体" w:hAnsi="宋体"/>
          <w:color w:val="auto"/>
          <w:szCs w:val="28"/>
          <w:highlight w:val="none"/>
        </w:rPr>
        <w:t>，该站设有三次油气回收系统（卸油油气回收系统、加油油气回收系统、油气回收处理装置）；洗车</w:t>
      </w:r>
      <w:r>
        <w:rPr>
          <w:rFonts w:hint="eastAsia" w:ascii="宋体" w:hAnsi="宋体"/>
          <w:color w:val="auto"/>
          <w:szCs w:val="28"/>
          <w:highlight w:val="none"/>
          <w:lang w:val="en-US" w:eastAsia="zh-CN"/>
        </w:rPr>
        <w:t>棚</w:t>
      </w:r>
      <w:r>
        <w:rPr>
          <w:rFonts w:hint="eastAsia" w:ascii="宋体" w:hAnsi="宋体"/>
          <w:color w:val="auto"/>
          <w:szCs w:val="28"/>
          <w:highlight w:val="none"/>
        </w:rPr>
        <w:t>位于</w:t>
      </w:r>
      <w:r>
        <w:rPr>
          <w:rFonts w:hint="eastAsia" w:ascii="宋体" w:hAnsi="宋体"/>
          <w:color w:val="auto"/>
          <w:szCs w:val="28"/>
          <w:highlight w:val="none"/>
          <w:lang w:val="en-US" w:eastAsia="zh-CN"/>
        </w:rPr>
        <w:t>加油区</w:t>
      </w:r>
      <w:r>
        <w:rPr>
          <w:rFonts w:hint="eastAsia" w:ascii="宋体" w:hAnsi="宋体"/>
          <w:color w:val="auto"/>
          <w:szCs w:val="28"/>
          <w:highlight w:val="none"/>
        </w:rPr>
        <w:t>东侧</w:t>
      </w:r>
      <w:r>
        <w:rPr>
          <w:rFonts w:hint="eastAsia" w:ascii="宋体" w:hAnsi="宋体"/>
          <w:color w:val="auto"/>
          <w:szCs w:val="28"/>
          <w:highlight w:val="none"/>
          <w:lang w:eastAsia="zh-CN"/>
        </w:rPr>
        <w:t>、</w:t>
      </w:r>
      <w:r>
        <w:rPr>
          <w:rFonts w:hint="eastAsia" w:ascii="宋体" w:hAnsi="宋体"/>
          <w:color w:val="auto"/>
          <w:szCs w:val="28"/>
          <w:highlight w:val="none"/>
          <w:lang w:val="en-US" w:eastAsia="zh-CN"/>
        </w:rPr>
        <w:t>1#和2#仓库位于站房东侧</w:t>
      </w:r>
      <w:r>
        <w:rPr>
          <w:rFonts w:hint="eastAsia" w:ascii="宋体" w:hAnsi="宋体"/>
          <w:color w:val="auto"/>
          <w:szCs w:val="28"/>
          <w:highlight w:val="none"/>
        </w:rPr>
        <w:t>；</w:t>
      </w:r>
      <w:r>
        <w:rPr>
          <w:rFonts w:hint="eastAsia" w:ascii="宋体"/>
          <w:color w:val="auto"/>
          <w:highlight w:val="none"/>
        </w:rPr>
        <w:t>按《汽车加油加气加氢站技术标准》GB50156-2021标准规定：油罐总储量为120m³，柴油储罐容积折半计入总容积为</w:t>
      </w:r>
      <w:r>
        <w:rPr>
          <w:rFonts w:hint="eastAsia" w:ascii="宋体"/>
          <w:color w:val="auto"/>
          <w:highlight w:val="none"/>
          <w:lang w:val="en-US" w:eastAsia="zh-CN"/>
        </w:rPr>
        <w:t>105</w:t>
      </w:r>
      <w:r>
        <w:rPr>
          <w:rFonts w:hint="eastAsia" w:ascii="宋体"/>
          <w:color w:val="auto"/>
          <w:highlight w:val="none"/>
        </w:rPr>
        <w:t>m³，该站属</w:t>
      </w:r>
      <w:r>
        <w:rPr>
          <w:rFonts w:hint="eastAsia" w:ascii="宋体"/>
          <w:color w:val="auto"/>
          <w:highlight w:val="none"/>
          <w:lang w:val="en-US" w:eastAsia="zh-CN"/>
        </w:rPr>
        <w:t>二</w:t>
      </w:r>
      <w:r>
        <w:rPr>
          <w:rFonts w:hint="eastAsia" w:ascii="宋体"/>
          <w:color w:val="auto"/>
          <w:highlight w:val="none"/>
        </w:rPr>
        <w:t>级加油站。</w:t>
      </w:r>
    </w:p>
    <w:p w14:paraId="0255EB97">
      <w:pPr>
        <w:pStyle w:val="10"/>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362CC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53BB9C7">
            <w:pPr>
              <w:pStyle w:val="11"/>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4F52CA6E">
            <w:pPr>
              <w:pStyle w:val="11"/>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3606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E968DFE">
            <w:pPr>
              <w:pStyle w:val="11"/>
              <w:widowControl w:val="0"/>
              <w:adjustRightInd w:val="0"/>
              <w:snapToGrid w:val="0"/>
              <w:spacing w:line="360" w:lineRule="auto"/>
              <w:rPr>
                <w:rFonts w:ascii="宋体" w:hAnsi="宋体"/>
                <w:b/>
                <w:bCs/>
                <w:color w:val="auto"/>
                <w:highlight w:val="none"/>
              </w:rPr>
            </w:pPr>
          </w:p>
        </w:tc>
        <w:tc>
          <w:tcPr>
            <w:tcW w:w="1667" w:type="pct"/>
            <w:vAlign w:val="center"/>
          </w:tcPr>
          <w:p w14:paraId="20D24043">
            <w:pPr>
              <w:pStyle w:val="11"/>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3CF80EE6">
            <w:pPr>
              <w:pStyle w:val="11"/>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7D790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593720A">
            <w:pPr>
              <w:pStyle w:val="11"/>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8AE6EA">
            <w:pPr>
              <w:pStyle w:val="11"/>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4FC96D75">
            <w:pPr>
              <w:pStyle w:val="11"/>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5DACE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654C4E0">
            <w:pPr>
              <w:pStyle w:val="11"/>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1D118118">
            <w:pPr>
              <w:pStyle w:val="11"/>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39246A4">
            <w:pPr>
              <w:pStyle w:val="11"/>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18E58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C675E29">
            <w:pPr>
              <w:pStyle w:val="11"/>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34943944">
            <w:pPr>
              <w:pStyle w:val="11"/>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3565AE89">
            <w:pPr>
              <w:pStyle w:val="11"/>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3866AAD5">
      <w:pPr>
        <w:pStyle w:val="12"/>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55B47349">
      <w:pPr>
        <w:adjustRightInd w:val="0"/>
        <w:snapToGrid w:val="0"/>
        <w:spacing w:line="360" w:lineRule="auto"/>
        <w:ind w:firstLine="560" w:firstLineChars="200"/>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6</w:t>
      </w:r>
      <w:r>
        <w:rPr>
          <w:rFonts w:hint="eastAsia" w:ascii="宋体" w:hAnsi="宋体"/>
          <w:color w:val="auto"/>
          <w:sz w:val="28"/>
          <w:highlight w:val="none"/>
        </w:rPr>
        <w:t>人，其中主要负责人1人，安全生产管理员1人。主要负责人和安全生产管理人员已参加了危险化学品安全管理培训，并取得考核合格证，详见附页。</w:t>
      </w:r>
    </w:p>
    <w:p w14:paraId="611A95CD">
      <w:pPr>
        <w:adjustRightInd w:val="0"/>
        <w:snapToGrid w:val="0"/>
        <w:spacing w:line="360" w:lineRule="auto"/>
        <w:ind w:firstLine="560" w:firstLineChars="200"/>
        <w:rPr>
          <w:rFonts w:hint="eastAsia" w:ascii="宋体" w:hAnsi="宋体" w:eastAsia="宋体" w:cs="Times New Roman"/>
          <w:b w:val="0"/>
          <w:bCs w:val="0"/>
          <w:color w:val="auto"/>
          <w:sz w:val="28"/>
          <w:highlight w:val="none"/>
        </w:rPr>
      </w:pPr>
      <w:r>
        <w:rPr>
          <w:rFonts w:hint="eastAsia" w:ascii="宋体" w:hAnsi="宋体" w:eastAsia="宋体" w:cs="Times New Roman"/>
          <w:b w:val="0"/>
          <w:bCs w:val="0"/>
          <w:color w:val="auto"/>
          <w:sz w:val="28"/>
          <w:highlight w:val="none"/>
        </w:rPr>
        <w:t>加油站于200</w:t>
      </w:r>
      <w:r>
        <w:rPr>
          <w:rFonts w:hint="eastAsia" w:ascii="宋体" w:hAnsi="宋体" w:cs="Times New Roman"/>
          <w:b w:val="0"/>
          <w:bCs w:val="0"/>
          <w:color w:val="auto"/>
          <w:sz w:val="28"/>
          <w:highlight w:val="none"/>
          <w:lang w:val="en-US" w:eastAsia="zh-CN"/>
        </w:rPr>
        <w:t>7</w:t>
      </w:r>
      <w:r>
        <w:rPr>
          <w:rFonts w:hint="eastAsia" w:ascii="宋体" w:hAnsi="宋体" w:eastAsia="宋体" w:cs="Times New Roman"/>
          <w:b w:val="0"/>
          <w:bCs w:val="0"/>
          <w:color w:val="auto"/>
          <w:sz w:val="28"/>
          <w:highlight w:val="none"/>
        </w:rPr>
        <w:t>年</w:t>
      </w:r>
      <w:r>
        <w:rPr>
          <w:rFonts w:hint="eastAsia" w:ascii="宋体" w:hAnsi="宋体" w:cs="Times New Roman"/>
          <w:b w:val="0"/>
          <w:bCs w:val="0"/>
          <w:color w:val="auto"/>
          <w:sz w:val="28"/>
          <w:highlight w:val="none"/>
          <w:lang w:val="en-US" w:eastAsia="zh-CN"/>
        </w:rPr>
        <w:t>6</w:t>
      </w:r>
      <w:r>
        <w:rPr>
          <w:rFonts w:hint="eastAsia" w:ascii="宋体" w:hAnsi="宋体" w:eastAsia="宋体" w:cs="Times New Roman"/>
          <w:b w:val="0"/>
          <w:bCs w:val="0"/>
          <w:color w:val="auto"/>
          <w:sz w:val="28"/>
          <w:highlight w:val="none"/>
        </w:rPr>
        <w:t>月</w:t>
      </w:r>
      <w:r>
        <w:rPr>
          <w:rFonts w:hint="eastAsia" w:ascii="宋体" w:hAnsi="宋体" w:cs="Times New Roman"/>
          <w:b w:val="0"/>
          <w:bCs w:val="0"/>
          <w:color w:val="auto"/>
          <w:sz w:val="28"/>
          <w:highlight w:val="none"/>
          <w:lang w:val="en-US" w:eastAsia="zh-CN"/>
        </w:rPr>
        <w:t>11</w:t>
      </w:r>
      <w:r>
        <w:rPr>
          <w:rFonts w:hint="eastAsia" w:ascii="宋体" w:hAnsi="宋体" w:eastAsia="宋体" w:cs="Times New Roman"/>
          <w:b w:val="0"/>
          <w:bCs w:val="0"/>
          <w:color w:val="auto"/>
          <w:sz w:val="28"/>
          <w:highlight w:val="none"/>
        </w:rPr>
        <w:t>日取得了</w:t>
      </w:r>
      <w:r>
        <w:rPr>
          <w:rFonts w:hint="eastAsia" w:ascii="宋体" w:hAnsi="Times New Roman" w:eastAsia="宋体" w:cs="Times New Roman"/>
          <w:color w:val="auto"/>
          <w:kern w:val="0"/>
          <w:sz w:val="28"/>
          <w:szCs w:val="20"/>
          <w:lang w:val="en-US" w:eastAsia="zh-CN" w:bidi="ar-SA"/>
        </w:rPr>
        <w:t>泰安市公安</w:t>
      </w:r>
      <w:r>
        <w:rPr>
          <w:rFonts w:hint="eastAsia" w:ascii="宋体" w:cs="Times New Roman"/>
          <w:color w:val="auto"/>
          <w:kern w:val="0"/>
          <w:sz w:val="28"/>
          <w:szCs w:val="20"/>
          <w:lang w:val="en-US" w:eastAsia="zh-CN" w:bidi="ar-SA"/>
        </w:rPr>
        <w:t>消防分</w:t>
      </w:r>
      <w:r>
        <w:rPr>
          <w:rFonts w:hint="eastAsia" w:ascii="宋体" w:hAnsi="Times New Roman" w:eastAsia="宋体" w:cs="Times New Roman"/>
          <w:color w:val="auto"/>
          <w:kern w:val="0"/>
          <w:sz w:val="28"/>
          <w:szCs w:val="20"/>
          <w:lang w:val="en-US" w:eastAsia="zh-CN" w:bidi="ar-SA"/>
        </w:rPr>
        <w:t>局</w:t>
      </w:r>
      <w:r>
        <w:rPr>
          <w:rFonts w:hint="eastAsia" w:ascii="宋体" w:hAnsi="宋体" w:eastAsia="宋体" w:cs="Times New Roman"/>
          <w:b w:val="0"/>
          <w:bCs w:val="0"/>
          <w:color w:val="auto"/>
          <w:sz w:val="28"/>
          <w:highlight w:val="none"/>
        </w:rPr>
        <w:t>出具了《</w:t>
      </w:r>
      <w:r>
        <w:rPr>
          <w:rFonts w:hint="eastAsia" w:ascii="宋体" w:hAnsi="宋体"/>
          <w:color w:val="auto"/>
          <w:sz w:val="28"/>
          <w:szCs w:val="28"/>
          <w:lang w:val="en-US" w:eastAsia="zh-CN"/>
        </w:rPr>
        <w:t>建筑工程消防验收意见书</w:t>
      </w:r>
      <w:r>
        <w:rPr>
          <w:rFonts w:hint="eastAsia" w:ascii="宋体" w:hAnsi="宋体" w:eastAsia="宋体" w:cs="Times New Roman"/>
          <w:b w:val="0"/>
          <w:bCs w:val="0"/>
          <w:color w:val="auto"/>
          <w:sz w:val="28"/>
          <w:highlight w:val="none"/>
        </w:rPr>
        <w:t>》，编号：</w:t>
      </w:r>
      <w:r>
        <w:rPr>
          <w:rFonts w:hint="eastAsia" w:ascii="宋体" w:hAnsi="宋体"/>
          <w:color w:val="auto"/>
          <w:sz w:val="28"/>
          <w:szCs w:val="28"/>
          <w:lang w:val="en-US" w:eastAsia="zh-CN"/>
        </w:rPr>
        <w:t>泰公消验字[2007]第112号，详见附件</w:t>
      </w:r>
      <w:r>
        <w:rPr>
          <w:rFonts w:hint="eastAsia" w:ascii="宋体" w:hAnsi="宋体" w:eastAsia="宋体" w:cs="Times New Roman"/>
          <w:b w:val="0"/>
          <w:bCs w:val="0"/>
          <w:color w:val="auto"/>
          <w:sz w:val="28"/>
          <w:highlight w:val="none"/>
        </w:rPr>
        <w:t>。</w:t>
      </w:r>
    </w:p>
    <w:p w14:paraId="06B7A36C">
      <w:pPr>
        <w:adjustRightInd w:val="0"/>
        <w:snapToGrid w:val="0"/>
        <w:spacing w:line="360" w:lineRule="auto"/>
        <w:ind w:firstLine="560" w:firstLineChars="200"/>
        <w:rPr>
          <w:rFonts w:ascii="宋体" w:hAnsi="宋体"/>
          <w:color w:val="auto"/>
          <w:sz w:val="28"/>
          <w:highlight w:val="none"/>
        </w:rPr>
      </w:pPr>
      <w:r>
        <w:rPr>
          <w:rFonts w:hint="eastAsia" w:ascii="宋体" w:hAnsi="宋体"/>
          <w:b w:val="0"/>
          <w:bCs w:val="0"/>
          <w:color w:val="auto"/>
          <w:sz w:val="28"/>
          <w:highlight w:val="none"/>
          <w:lang w:eastAsia="zh-CN"/>
        </w:rPr>
        <w:t>泰安泰山油惠加油站有限公司（</w:t>
      </w:r>
      <w:r>
        <w:rPr>
          <w:rFonts w:hint="eastAsia" w:ascii="宋体" w:hAnsi="宋体"/>
          <w:b w:val="0"/>
          <w:bCs w:val="0"/>
          <w:color w:val="auto"/>
          <w:sz w:val="28"/>
          <w:highlight w:val="none"/>
          <w:lang w:val="en-US" w:eastAsia="zh-CN"/>
        </w:rPr>
        <w:t>原名泰安市保利润滑油有限公司</w:t>
      </w:r>
      <w:r>
        <w:rPr>
          <w:rFonts w:hint="eastAsia" w:ascii="宋体" w:hAnsi="宋体"/>
          <w:b w:val="0"/>
          <w:bCs w:val="0"/>
          <w:color w:val="auto"/>
          <w:sz w:val="28"/>
          <w:highlight w:val="none"/>
          <w:lang w:eastAsia="zh-CN"/>
        </w:rPr>
        <w:t>）</w:t>
      </w:r>
      <w:r>
        <w:rPr>
          <w:rFonts w:hint="eastAsia" w:ascii="宋体" w:hAnsi="宋体"/>
          <w:b w:val="0"/>
          <w:bCs w:val="0"/>
          <w:color w:val="auto"/>
          <w:sz w:val="28"/>
          <w:highlight w:val="none"/>
        </w:rPr>
        <w:t>于20</w:t>
      </w:r>
      <w:r>
        <w:rPr>
          <w:rFonts w:hint="eastAsia" w:ascii="宋体" w:hAnsi="宋体"/>
          <w:b w:val="0"/>
          <w:bCs w:val="0"/>
          <w:color w:val="auto"/>
          <w:sz w:val="28"/>
          <w:highlight w:val="none"/>
          <w:lang w:val="en-US" w:eastAsia="zh-CN"/>
        </w:rPr>
        <w:t>15</w:t>
      </w:r>
      <w:r>
        <w:rPr>
          <w:rFonts w:hint="eastAsia" w:ascii="宋体" w:hAnsi="宋体"/>
          <w:b w:val="0"/>
          <w:bCs w:val="0"/>
          <w:color w:val="auto"/>
          <w:sz w:val="28"/>
          <w:highlight w:val="none"/>
        </w:rPr>
        <w:t>年</w:t>
      </w:r>
      <w:r>
        <w:rPr>
          <w:rFonts w:hint="eastAsia" w:ascii="宋体" w:hAnsi="宋体"/>
          <w:b w:val="0"/>
          <w:bCs w:val="0"/>
          <w:color w:val="auto"/>
          <w:sz w:val="28"/>
          <w:highlight w:val="none"/>
          <w:lang w:val="en-US" w:eastAsia="zh-CN"/>
        </w:rPr>
        <w:t>3</w:t>
      </w:r>
      <w:r>
        <w:rPr>
          <w:rFonts w:hint="eastAsia" w:ascii="宋体" w:hAnsi="宋体"/>
          <w:b w:val="0"/>
          <w:bCs w:val="0"/>
          <w:color w:val="auto"/>
          <w:sz w:val="28"/>
          <w:highlight w:val="none"/>
        </w:rPr>
        <w:t>月</w:t>
      </w:r>
      <w:r>
        <w:rPr>
          <w:rFonts w:hint="eastAsia" w:ascii="宋体" w:hAnsi="宋体"/>
          <w:b w:val="0"/>
          <w:bCs w:val="0"/>
          <w:color w:val="auto"/>
          <w:sz w:val="28"/>
          <w:highlight w:val="none"/>
          <w:lang w:val="en-US" w:eastAsia="zh-CN"/>
        </w:rPr>
        <w:t>6</w:t>
      </w:r>
      <w:r>
        <w:rPr>
          <w:rFonts w:hint="eastAsia" w:ascii="宋体" w:hAnsi="宋体"/>
          <w:b w:val="0"/>
          <w:bCs w:val="0"/>
          <w:color w:val="auto"/>
          <w:sz w:val="28"/>
          <w:highlight w:val="none"/>
        </w:rPr>
        <w:t>日与</w:t>
      </w:r>
      <w:r>
        <w:rPr>
          <w:rFonts w:hint="eastAsia" w:ascii="宋体" w:hAnsi="宋体"/>
          <w:b w:val="0"/>
          <w:bCs w:val="0"/>
          <w:color w:val="auto"/>
          <w:sz w:val="28"/>
          <w:highlight w:val="none"/>
          <w:lang w:val="en-US" w:eastAsia="zh-CN"/>
        </w:rPr>
        <w:t>泰安市公共交通公司</w:t>
      </w:r>
      <w:r>
        <w:rPr>
          <w:rFonts w:hint="eastAsia" w:ascii="宋体" w:hAnsi="宋体"/>
          <w:b w:val="0"/>
          <w:bCs w:val="0"/>
          <w:color w:val="auto"/>
          <w:sz w:val="28"/>
          <w:highlight w:val="none"/>
        </w:rPr>
        <w:t>签定了《</w:t>
      </w:r>
      <w:r>
        <w:rPr>
          <w:rFonts w:hint="eastAsia" w:ascii="宋体" w:hAnsi="宋体"/>
          <w:b w:val="0"/>
          <w:bCs w:val="0"/>
          <w:color w:val="auto"/>
          <w:sz w:val="28"/>
          <w:highlight w:val="none"/>
          <w:lang w:val="en-US" w:eastAsia="zh-CN"/>
        </w:rPr>
        <w:t>加油站租赁合同</w:t>
      </w:r>
      <w:r>
        <w:rPr>
          <w:rFonts w:hint="eastAsia" w:ascii="宋体" w:hAnsi="宋体"/>
          <w:b w:val="0"/>
          <w:bCs w:val="0"/>
          <w:color w:val="auto"/>
          <w:sz w:val="28"/>
          <w:highlight w:val="none"/>
        </w:rPr>
        <w:t>》，土地使用年限</w:t>
      </w:r>
      <w:r>
        <w:rPr>
          <w:rFonts w:hint="eastAsia" w:ascii="宋体" w:hAnsi="宋体"/>
          <w:b w:val="0"/>
          <w:bCs w:val="0"/>
          <w:color w:val="auto"/>
          <w:sz w:val="28"/>
          <w:highlight w:val="none"/>
          <w:lang w:val="en-US" w:eastAsia="zh-CN"/>
        </w:rPr>
        <w:t>1</w:t>
      </w:r>
      <w:r>
        <w:rPr>
          <w:rFonts w:hint="eastAsia" w:ascii="宋体" w:hAnsi="宋体"/>
          <w:b w:val="0"/>
          <w:bCs w:val="0"/>
          <w:color w:val="auto"/>
          <w:sz w:val="28"/>
          <w:highlight w:val="none"/>
        </w:rPr>
        <w:t>0年，有效期</w:t>
      </w:r>
      <w:r>
        <w:rPr>
          <w:rFonts w:hint="eastAsia" w:ascii="宋体" w:hAnsi="宋体"/>
          <w:color w:val="auto"/>
          <w:sz w:val="28"/>
          <w:highlight w:val="none"/>
        </w:rPr>
        <w:t>至20</w:t>
      </w:r>
      <w:r>
        <w:rPr>
          <w:rFonts w:hint="eastAsia" w:ascii="宋体" w:hAnsi="宋体"/>
          <w:color w:val="auto"/>
          <w:sz w:val="28"/>
          <w:highlight w:val="none"/>
          <w:lang w:val="en-US" w:eastAsia="zh-CN"/>
        </w:rPr>
        <w:t>25</w:t>
      </w:r>
      <w:r>
        <w:rPr>
          <w:rFonts w:hint="eastAsia" w:ascii="宋体" w:hAnsi="宋体"/>
          <w:color w:val="auto"/>
          <w:sz w:val="28"/>
          <w:highlight w:val="none"/>
        </w:rPr>
        <w:t>年4月</w:t>
      </w:r>
      <w:r>
        <w:rPr>
          <w:rFonts w:hint="eastAsia" w:ascii="宋体" w:hAnsi="宋体"/>
          <w:color w:val="auto"/>
          <w:sz w:val="28"/>
          <w:highlight w:val="none"/>
          <w:lang w:val="en-US" w:eastAsia="zh-CN"/>
        </w:rPr>
        <w:t>22</w:t>
      </w:r>
      <w:r>
        <w:rPr>
          <w:rFonts w:hint="eastAsia" w:ascii="宋体" w:hAnsi="宋体"/>
          <w:color w:val="auto"/>
          <w:sz w:val="28"/>
          <w:highlight w:val="none"/>
        </w:rPr>
        <w:t>日，</w:t>
      </w:r>
      <w:r>
        <w:rPr>
          <w:rFonts w:hint="eastAsia" w:ascii="宋体" w:hAnsi="宋体"/>
          <w:color w:val="auto"/>
          <w:sz w:val="28"/>
          <w:highlight w:val="none"/>
          <w:lang w:val="en-US" w:eastAsia="zh-CN"/>
        </w:rPr>
        <w:t>租赁到期后，由</w:t>
      </w:r>
      <w:r>
        <w:rPr>
          <w:rFonts w:hint="eastAsia" w:ascii="宋体" w:hAnsi="宋体"/>
          <w:b w:val="0"/>
          <w:bCs w:val="0"/>
          <w:color w:val="auto"/>
          <w:sz w:val="28"/>
          <w:highlight w:val="none"/>
          <w:lang w:val="en-US" w:eastAsia="zh-CN"/>
        </w:rPr>
        <w:t>泰安市公共交通公司</w:t>
      </w:r>
      <w:r>
        <w:rPr>
          <w:rFonts w:hint="eastAsia" w:ascii="宋体" w:hAnsi="宋体"/>
          <w:color w:val="auto"/>
          <w:sz w:val="28"/>
          <w:highlight w:val="none"/>
          <w:lang w:val="en-US" w:eastAsia="zh-CN"/>
        </w:rPr>
        <w:t>出具了《关于租赁合同延续使用的证明》，租赁关系延续至2025年9月25日，</w:t>
      </w:r>
      <w:r>
        <w:rPr>
          <w:rFonts w:hint="eastAsia" w:ascii="宋体" w:hAnsi="宋体"/>
          <w:color w:val="auto"/>
          <w:sz w:val="28"/>
          <w:highlight w:val="none"/>
        </w:rPr>
        <w:t>详见附件。</w:t>
      </w:r>
    </w:p>
    <w:p w14:paraId="323449C2">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5</w:t>
      </w:r>
      <w:r>
        <w:rPr>
          <w:rFonts w:ascii="宋体"/>
          <w:color w:val="auto"/>
          <w:highlight w:val="none"/>
        </w:rPr>
        <w:t>年</w:t>
      </w:r>
      <w:r>
        <w:rPr>
          <w:rFonts w:hint="eastAsia" w:ascii="宋体"/>
          <w:color w:val="auto"/>
          <w:highlight w:val="none"/>
        </w:rPr>
        <w:t>0</w:t>
      </w:r>
      <w:r>
        <w:rPr>
          <w:rFonts w:hint="eastAsia" w:ascii="宋体"/>
          <w:color w:val="auto"/>
          <w:highlight w:val="none"/>
          <w:lang w:val="en-US" w:eastAsia="zh-CN"/>
        </w:rPr>
        <w:t>4</w:t>
      </w:r>
      <w:r>
        <w:rPr>
          <w:rFonts w:ascii="宋体"/>
          <w:color w:val="auto"/>
          <w:highlight w:val="none"/>
        </w:rPr>
        <w:t>月</w:t>
      </w:r>
      <w:r>
        <w:rPr>
          <w:rFonts w:hint="eastAsia" w:ascii="宋体"/>
          <w:color w:val="auto"/>
          <w:highlight w:val="none"/>
        </w:rPr>
        <w:t>07</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鲁油零售证书第37090330</w:t>
      </w:r>
      <w:r>
        <w:rPr>
          <w:rFonts w:hint="eastAsia" w:ascii="宋体"/>
          <w:color w:val="auto"/>
          <w:highlight w:val="none"/>
          <w:lang w:val="en-US" w:eastAsia="zh-CN"/>
        </w:rPr>
        <w:t>91</w:t>
      </w:r>
      <w:r>
        <w:rPr>
          <w:rFonts w:ascii="宋体"/>
          <w:color w:val="auto"/>
          <w:highlight w:val="none"/>
        </w:rPr>
        <w:t>号</w:t>
      </w:r>
      <w:r>
        <w:rPr>
          <w:rFonts w:hint="eastAsia" w:ascii="宋体"/>
          <w:color w:val="auto"/>
          <w:highlight w:val="none"/>
        </w:rPr>
        <w:t>，证书有效期至20</w:t>
      </w:r>
      <w:r>
        <w:rPr>
          <w:rFonts w:hint="eastAsia" w:ascii="宋体"/>
          <w:color w:val="auto"/>
          <w:highlight w:val="none"/>
          <w:lang w:val="en-US" w:eastAsia="zh-CN"/>
        </w:rPr>
        <w:t>30</w:t>
      </w:r>
      <w:r>
        <w:rPr>
          <w:rFonts w:hint="eastAsia" w:ascii="宋体"/>
          <w:color w:val="auto"/>
          <w:highlight w:val="none"/>
        </w:rPr>
        <w:t>年0</w:t>
      </w:r>
      <w:r>
        <w:rPr>
          <w:rFonts w:hint="eastAsia" w:ascii="宋体"/>
          <w:color w:val="auto"/>
          <w:highlight w:val="none"/>
          <w:lang w:val="en-US" w:eastAsia="zh-CN"/>
        </w:rPr>
        <w:t>4</w:t>
      </w:r>
      <w:r>
        <w:rPr>
          <w:rFonts w:hint="eastAsia" w:ascii="宋体"/>
          <w:color w:val="auto"/>
          <w:highlight w:val="none"/>
        </w:rPr>
        <w:t>月07日，证书见附件</w:t>
      </w:r>
      <w:r>
        <w:rPr>
          <w:rFonts w:ascii="宋体"/>
          <w:color w:val="auto"/>
          <w:highlight w:val="none"/>
        </w:rPr>
        <w:t>。</w:t>
      </w:r>
    </w:p>
    <w:p w14:paraId="1AFE7344">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22年</w:t>
      </w:r>
      <w:r>
        <w:rPr>
          <w:rFonts w:hint="eastAsia" w:ascii="宋体"/>
          <w:color w:val="auto"/>
          <w:highlight w:val="none"/>
          <w:lang w:val="en-US" w:eastAsia="zh-CN"/>
        </w:rPr>
        <w:t>9</w:t>
      </w:r>
      <w:r>
        <w:rPr>
          <w:rFonts w:hint="eastAsia" w:ascii="宋体"/>
          <w:color w:val="auto"/>
          <w:highlight w:val="none"/>
        </w:rPr>
        <w:t>月</w:t>
      </w:r>
      <w:r>
        <w:rPr>
          <w:rFonts w:hint="eastAsia" w:ascii="宋体"/>
          <w:color w:val="auto"/>
          <w:highlight w:val="none"/>
          <w:lang w:val="en-US" w:eastAsia="zh-CN"/>
        </w:rPr>
        <w:t>7</w:t>
      </w:r>
      <w:r>
        <w:rPr>
          <w:rFonts w:hint="eastAsia" w:ascii="宋体"/>
          <w:color w:val="auto"/>
          <w:highlight w:val="none"/>
        </w:rPr>
        <w:t>日换发了《危险化学品经营许可证》，证书编号：鲁泰危化经[2022]000</w:t>
      </w:r>
      <w:r>
        <w:rPr>
          <w:rFonts w:hint="eastAsia" w:ascii="宋体"/>
          <w:color w:val="auto"/>
          <w:highlight w:val="none"/>
          <w:lang w:val="en-US" w:eastAsia="zh-CN"/>
        </w:rPr>
        <w:t>520</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9</w:t>
      </w:r>
      <w:r>
        <w:rPr>
          <w:rFonts w:hint="eastAsia" w:ascii="宋体"/>
          <w:color w:val="auto"/>
          <w:highlight w:val="none"/>
        </w:rPr>
        <w:t>月</w:t>
      </w:r>
      <w:r>
        <w:rPr>
          <w:rFonts w:hint="eastAsia" w:ascii="宋体"/>
          <w:color w:val="auto"/>
          <w:highlight w:val="none"/>
          <w:lang w:val="en-US" w:eastAsia="zh-CN"/>
        </w:rPr>
        <w:t>7</w:t>
      </w:r>
      <w:r>
        <w:rPr>
          <w:rFonts w:hint="eastAsia" w:ascii="宋体"/>
          <w:color w:val="auto"/>
          <w:highlight w:val="none"/>
        </w:rPr>
        <w:t>日，证书见附件。</w:t>
      </w:r>
    </w:p>
    <w:p w14:paraId="2E98BEBD">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大地</w:t>
      </w:r>
      <w:r>
        <w:rPr>
          <w:rFonts w:hint="eastAsia" w:ascii="宋体"/>
          <w:color w:val="auto"/>
          <w:highlight w:val="none"/>
        </w:rPr>
        <w:t>财产保险股份有限公司投保安全生产责任保险，保险期限2024年0</w:t>
      </w:r>
      <w:r>
        <w:rPr>
          <w:rFonts w:hint="eastAsia" w:ascii="宋体"/>
          <w:color w:val="auto"/>
          <w:highlight w:val="none"/>
          <w:lang w:val="en-US" w:eastAsia="zh-CN"/>
        </w:rPr>
        <w:t>8</w:t>
      </w:r>
      <w:r>
        <w:rPr>
          <w:rFonts w:hint="eastAsia" w:ascii="宋体"/>
          <w:color w:val="auto"/>
          <w:highlight w:val="none"/>
        </w:rPr>
        <w:t>月26日至2025年0</w:t>
      </w:r>
      <w:r>
        <w:rPr>
          <w:rFonts w:hint="eastAsia" w:ascii="宋体"/>
          <w:color w:val="auto"/>
          <w:highlight w:val="none"/>
          <w:lang w:val="en-US" w:eastAsia="zh-CN"/>
        </w:rPr>
        <w:t>8</w:t>
      </w:r>
      <w:r>
        <w:rPr>
          <w:rFonts w:hint="eastAsia" w:ascii="宋体"/>
          <w:color w:val="auto"/>
          <w:highlight w:val="none"/>
        </w:rPr>
        <w:t>月25日，详见附件。</w:t>
      </w:r>
    </w:p>
    <w:p w14:paraId="34DA13A1">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该站编制了生产安全事故应急预案，于2025年</w:t>
      </w:r>
      <w:r>
        <w:rPr>
          <w:rFonts w:hint="eastAsia" w:ascii="宋体" w:hAnsi="宋体"/>
          <w:color w:val="auto"/>
          <w:sz w:val="28"/>
          <w:highlight w:val="none"/>
          <w:lang w:val="en-US" w:eastAsia="zh-CN"/>
        </w:rPr>
        <w:t>8</w:t>
      </w:r>
      <w:r>
        <w:rPr>
          <w:rFonts w:hint="eastAsia" w:ascii="宋体" w:hAnsi="宋体"/>
          <w:color w:val="auto"/>
          <w:sz w:val="28"/>
          <w:highlight w:val="none"/>
        </w:rPr>
        <w:t>月4日在泰安市</w:t>
      </w:r>
      <w:r>
        <w:rPr>
          <w:rFonts w:hint="eastAsia" w:ascii="宋体" w:hAnsi="宋体"/>
          <w:color w:val="auto"/>
          <w:sz w:val="28"/>
          <w:highlight w:val="none"/>
          <w:lang w:val="en-US" w:eastAsia="zh-CN"/>
        </w:rPr>
        <w:t>岱岳区</w:t>
      </w:r>
      <w:r>
        <w:rPr>
          <w:rFonts w:hint="eastAsia" w:ascii="宋体" w:hAnsi="宋体"/>
          <w:color w:val="auto"/>
          <w:sz w:val="28"/>
          <w:highlight w:val="none"/>
        </w:rPr>
        <w:t>应急管理局进行了备案，备案编号为：37091120250</w:t>
      </w:r>
      <w:r>
        <w:rPr>
          <w:rFonts w:hint="eastAsia" w:ascii="宋体" w:hAnsi="宋体"/>
          <w:color w:val="auto"/>
          <w:sz w:val="28"/>
          <w:highlight w:val="none"/>
          <w:lang w:val="en-US" w:eastAsia="zh-CN"/>
        </w:rPr>
        <w:t>44</w:t>
      </w:r>
      <w:r>
        <w:rPr>
          <w:rFonts w:hint="eastAsia" w:ascii="宋体" w:hAnsi="宋体"/>
          <w:color w:val="auto"/>
          <w:sz w:val="28"/>
          <w:highlight w:val="none"/>
        </w:rPr>
        <w:t>，详见附件。</w:t>
      </w:r>
    </w:p>
    <w:p w14:paraId="2D2FDF75">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山东天科防雷工程有限公司对该站进行了相关防雷设施的检测，出具了合格的《雷电防护装置定期检测报告》，报告编号：（1122016001）[2025]</w:t>
      </w:r>
      <w:r>
        <w:rPr>
          <w:rFonts w:hint="eastAsia" w:ascii="宋体" w:hAnsi="宋体"/>
          <w:color w:val="auto"/>
          <w:sz w:val="28"/>
          <w:highlight w:val="none"/>
          <w:lang w:val="en-US" w:eastAsia="zh-CN"/>
        </w:rPr>
        <w:t>D-</w:t>
      </w:r>
      <w:r>
        <w:rPr>
          <w:rFonts w:hint="eastAsia" w:ascii="宋体" w:hAnsi="宋体"/>
          <w:color w:val="auto"/>
          <w:sz w:val="28"/>
          <w:highlight w:val="none"/>
        </w:rPr>
        <w:t>TA</w:t>
      </w:r>
      <w:r>
        <w:rPr>
          <w:rFonts w:hint="eastAsia" w:ascii="宋体" w:hAnsi="宋体"/>
          <w:color w:val="auto"/>
          <w:sz w:val="28"/>
          <w:highlight w:val="none"/>
          <w:lang w:val="en-US" w:eastAsia="zh-CN"/>
        </w:rPr>
        <w:t>0281</w:t>
      </w:r>
      <w:r>
        <w:rPr>
          <w:rFonts w:hint="eastAsia" w:ascii="宋体" w:hAnsi="宋体"/>
          <w:color w:val="auto"/>
          <w:sz w:val="28"/>
          <w:highlight w:val="none"/>
        </w:rPr>
        <w:t>号，防雷类别：二类，结论为“合格：加油站雷电防护装置符合现行国家防雷规范标准要求”，有效期至202</w:t>
      </w:r>
      <w:r>
        <w:rPr>
          <w:rFonts w:hint="eastAsia" w:ascii="宋体" w:hAnsi="宋体"/>
          <w:color w:val="auto"/>
          <w:sz w:val="28"/>
          <w:highlight w:val="none"/>
          <w:lang w:val="en-US" w:eastAsia="zh-CN"/>
        </w:rPr>
        <w:t>6</w:t>
      </w:r>
      <w:r>
        <w:rPr>
          <w:rFonts w:hint="eastAsia" w:ascii="宋体" w:hAnsi="宋体"/>
          <w:color w:val="auto"/>
          <w:sz w:val="28"/>
          <w:highlight w:val="none"/>
        </w:rPr>
        <w:t>年</w:t>
      </w:r>
      <w:r>
        <w:rPr>
          <w:rFonts w:hint="eastAsia" w:ascii="宋体" w:hAnsi="宋体"/>
          <w:color w:val="auto"/>
          <w:sz w:val="28"/>
          <w:highlight w:val="none"/>
          <w:lang w:val="en-US" w:eastAsia="zh-CN"/>
        </w:rPr>
        <w:t>02</w:t>
      </w:r>
      <w:r>
        <w:rPr>
          <w:rFonts w:hint="eastAsia" w:ascii="宋体" w:hAnsi="宋体"/>
          <w:color w:val="auto"/>
          <w:sz w:val="28"/>
          <w:highlight w:val="none"/>
        </w:rPr>
        <w:t>月</w:t>
      </w:r>
      <w:r>
        <w:rPr>
          <w:rFonts w:hint="eastAsia" w:ascii="宋体" w:hAnsi="宋体"/>
          <w:color w:val="auto"/>
          <w:sz w:val="28"/>
          <w:highlight w:val="none"/>
          <w:lang w:val="en-US" w:eastAsia="zh-CN"/>
        </w:rPr>
        <w:t>05</w:t>
      </w:r>
      <w:r>
        <w:rPr>
          <w:rFonts w:hint="eastAsia" w:ascii="宋体" w:hAnsi="宋体"/>
          <w:color w:val="auto"/>
          <w:sz w:val="28"/>
          <w:highlight w:val="none"/>
        </w:rPr>
        <w:t>日，检测报告见附件。</w:t>
      </w:r>
    </w:p>
    <w:p w14:paraId="209C486C">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26932490">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该站各项安全管理制度健全，有生产经营单位生产事故应急预案，并定期进行应急救援演练。该加油站消防器材配备齐全，加油站配备了35kg推车式干粉灭火器2具，8kg手提式干粉灭火器</w:t>
      </w:r>
      <w:r>
        <w:rPr>
          <w:rFonts w:hint="eastAsia" w:ascii="宋体"/>
          <w:color w:val="auto"/>
          <w:highlight w:val="none"/>
          <w:lang w:val="en-US" w:eastAsia="zh-CN"/>
        </w:rPr>
        <w:t>10</w:t>
      </w:r>
      <w:r>
        <w:rPr>
          <w:rFonts w:hint="eastAsia" w:ascii="宋体"/>
          <w:color w:val="auto"/>
          <w:highlight w:val="none"/>
        </w:rPr>
        <w:t>具，灭火毯</w:t>
      </w:r>
      <w:r>
        <w:rPr>
          <w:rFonts w:hint="eastAsia" w:ascii="宋体"/>
          <w:color w:val="auto"/>
          <w:highlight w:val="none"/>
          <w:lang w:val="en-US" w:eastAsia="zh-CN"/>
        </w:rPr>
        <w:t>5</w:t>
      </w:r>
      <w:r>
        <w:rPr>
          <w:rFonts w:hint="eastAsia" w:ascii="宋体"/>
          <w:color w:val="auto"/>
          <w:highlight w:val="none"/>
        </w:rPr>
        <w:t>块，消防锨</w:t>
      </w:r>
      <w:r>
        <w:rPr>
          <w:rFonts w:hint="eastAsia" w:ascii="宋体"/>
          <w:color w:val="auto"/>
          <w:highlight w:val="none"/>
          <w:lang w:val="en-US" w:eastAsia="zh-CN"/>
        </w:rPr>
        <w:t>4</w:t>
      </w:r>
      <w:r>
        <w:rPr>
          <w:rFonts w:hint="eastAsia" w:ascii="宋体"/>
          <w:color w:val="auto"/>
          <w:highlight w:val="none"/>
        </w:rPr>
        <w:t>把，消防桶</w:t>
      </w:r>
      <w:r>
        <w:rPr>
          <w:rFonts w:hint="eastAsia" w:ascii="宋体"/>
          <w:color w:val="auto"/>
          <w:highlight w:val="none"/>
          <w:lang w:val="en-US" w:eastAsia="zh-CN"/>
        </w:rPr>
        <w:t>4</w:t>
      </w:r>
      <w:r>
        <w:rPr>
          <w:rFonts w:hint="eastAsia" w:ascii="宋体"/>
          <w:color w:val="auto"/>
          <w:highlight w:val="none"/>
        </w:rPr>
        <w:t>个，消防沙池2m</w:t>
      </w:r>
      <w:r>
        <w:rPr>
          <w:rFonts w:hint="eastAsia" w:ascii="宋体"/>
          <w:color w:val="auto"/>
          <w:highlight w:val="none"/>
          <w:vertAlign w:val="superscript"/>
        </w:rPr>
        <w:t>3</w:t>
      </w:r>
      <w:r>
        <w:rPr>
          <w:rFonts w:hint="eastAsia" w:ascii="宋体"/>
          <w:color w:val="auto"/>
          <w:highlight w:val="none"/>
        </w:rPr>
        <w:t>。</w:t>
      </w:r>
    </w:p>
    <w:p w14:paraId="75EE6D2B">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该加油站按功能分区布置，有油罐区、加油区、站房，布置较合理。</w:t>
      </w:r>
    </w:p>
    <w:p w14:paraId="56DF080D">
      <w:pPr>
        <w:pStyle w:val="8"/>
        <w:widowControl w:val="0"/>
        <w:adjustRightInd w:val="0"/>
        <w:snapToGrid w:val="0"/>
        <w:spacing w:line="360" w:lineRule="auto"/>
        <w:ind w:firstLine="560"/>
        <w:rPr>
          <w:rFonts w:ascii="宋体"/>
          <w:color w:val="auto"/>
          <w:highlight w:val="none"/>
        </w:rPr>
      </w:pPr>
      <w:r>
        <w:rPr>
          <w:rFonts w:hint="eastAsia" w:ascii="宋体"/>
          <w:color w:val="auto"/>
          <w:highlight w:val="none"/>
        </w:rPr>
        <w:t>站房地上二层（砖混），罩棚为钢架结构。</w:t>
      </w:r>
      <w:r>
        <w:rPr>
          <w:rFonts w:ascii="宋体"/>
          <w:color w:val="auto"/>
          <w:highlight w:val="none"/>
        </w:rPr>
        <w:t>该站基本情况见下表2.1-2。</w:t>
      </w:r>
      <w:r>
        <w:rPr>
          <w:rFonts w:hint="eastAsia" w:ascii="宋体"/>
          <w:color w:val="auto"/>
          <w:highlight w:val="none"/>
        </w:rPr>
        <w:t xml:space="preserve">                                                                                                                                                                                                                                                                                                                                                                                                                                                                                                                                                                                                                                                                                                                                                                                                                                                                                                                                                                                                                                                                                                                                                                                                                                                                                                                                                                                                                                                                                                                                                                                                                                                                                                                                                                                                                                                                                                                                                                                                                                                                                                                                                                                                                                                                                                                                                                                                                                                                                                                                                                                                                                                                                                                                                                                                                                                                                                                                                                                                                                                                                                                                                                                                                                                                                                                                                                  </w:t>
      </w:r>
    </w:p>
    <w:p w14:paraId="4544B742">
      <w:pPr>
        <w:pStyle w:val="10"/>
        <w:widowControl w:val="0"/>
        <w:adjustRightInd w:val="0"/>
        <w:snapToGrid w:val="0"/>
        <w:spacing w:line="360" w:lineRule="auto"/>
        <w:outlineLvl w:val="9"/>
        <w:rPr>
          <w:rFonts w:ascii="黑体" w:hAnsi="黑体"/>
          <w:color w:val="auto"/>
          <w:highlight w:val="none"/>
        </w:rPr>
      </w:pPr>
      <w:r>
        <w:rPr>
          <w:rFonts w:ascii="黑体" w:hAnsi="黑体"/>
          <w:color w:val="auto"/>
          <w:highlight w:val="none"/>
        </w:rPr>
        <w:t>表2.1-2 加油站基本情况表</w:t>
      </w:r>
    </w:p>
    <w:tbl>
      <w:tblPr>
        <w:tblStyle w:val="3"/>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66"/>
        <w:gridCol w:w="1483"/>
        <w:gridCol w:w="996"/>
        <w:gridCol w:w="133"/>
        <w:gridCol w:w="1090"/>
        <w:gridCol w:w="231"/>
        <w:gridCol w:w="189"/>
        <w:gridCol w:w="1323"/>
        <w:gridCol w:w="774"/>
        <w:gridCol w:w="376"/>
        <w:gridCol w:w="168"/>
        <w:gridCol w:w="1398"/>
      </w:tblGrid>
      <w:tr w14:paraId="67008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78374553">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企业名称</w:t>
            </w:r>
          </w:p>
        </w:tc>
        <w:tc>
          <w:tcPr>
            <w:tcW w:w="4237" w:type="pct"/>
            <w:gridSpan w:val="11"/>
            <w:vAlign w:val="center"/>
          </w:tcPr>
          <w:p w14:paraId="7B6B85FF">
            <w:pPr>
              <w:pStyle w:val="11"/>
              <w:widowControl w:val="0"/>
              <w:adjustRightInd w:val="0"/>
              <w:snapToGrid w:val="0"/>
              <w:spacing w:line="360" w:lineRule="auto"/>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泰安泰山油惠加油站有限公司</w:t>
            </w:r>
          </w:p>
        </w:tc>
      </w:tr>
      <w:tr w14:paraId="118B69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1AB2D17E">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注册地址</w:t>
            </w:r>
          </w:p>
        </w:tc>
        <w:tc>
          <w:tcPr>
            <w:tcW w:w="4237" w:type="pct"/>
            <w:gridSpan w:val="11"/>
            <w:vAlign w:val="center"/>
          </w:tcPr>
          <w:p w14:paraId="591B90B6">
            <w:pPr>
              <w:pStyle w:val="11"/>
              <w:widowControl w:val="0"/>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lang w:eastAsia="zh-CN"/>
              </w:rPr>
              <w:t>泰安市岱岳区粥店街道东岳大街西首公交公司停车场</w:t>
            </w:r>
          </w:p>
        </w:tc>
      </w:tr>
      <w:tr w14:paraId="148CA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2C6CE606">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电话</w:t>
            </w:r>
          </w:p>
        </w:tc>
        <w:tc>
          <w:tcPr>
            <w:tcW w:w="1287" w:type="pct"/>
            <w:gridSpan w:val="2"/>
            <w:vAlign w:val="center"/>
          </w:tcPr>
          <w:p w14:paraId="68C13DFB">
            <w:pPr>
              <w:pStyle w:val="2"/>
              <w:rPr>
                <w:rFonts w:hint="default" w:ascii="宋体" w:hAnsi="宋体" w:eastAsia="宋体" w:cs="宋体"/>
                <w:color w:val="auto"/>
                <w:highlight w:val="none"/>
                <w:lang w:val="en-US" w:eastAsia="zh-CN"/>
              </w:rPr>
            </w:pPr>
            <w:r>
              <w:rPr>
                <w:rFonts w:hint="eastAsia" w:ascii="宋体" w:hAnsi="宋体" w:cs="宋体"/>
                <w:color w:val="auto"/>
                <w:sz w:val="21"/>
                <w:szCs w:val="21"/>
                <w:highlight w:val="none"/>
                <w:lang w:val="en-US" w:eastAsia="zh-CN"/>
              </w:rPr>
              <w:t>18605480027</w:t>
            </w:r>
          </w:p>
        </w:tc>
        <w:tc>
          <w:tcPr>
            <w:tcW w:w="853" w:type="pct"/>
            <w:gridSpan w:val="4"/>
            <w:vAlign w:val="center"/>
          </w:tcPr>
          <w:p w14:paraId="5873C32A">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传 真</w:t>
            </w:r>
          </w:p>
        </w:tc>
        <w:tc>
          <w:tcPr>
            <w:tcW w:w="686" w:type="pct"/>
            <w:vAlign w:val="center"/>
          </w:tcPr>
          <w:p w14:paraId="6C12FB32">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w:t>
            </w:r>
          </w:p>
        </w:tc>
        <w:tc>
          <w:tcPr>
            <w:tcW w:w="597" w:type="pct"/>
            <w:gridSpan w:val="2"/>
            <w:vAlign w:val="center"/>
          </w:tcPr>
          <w:p w14:paraId="2F3B9E4F">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邮政编码</w:t>
            </w:r>
          </w:p>
        </w:tc>
        <w:tc>
          <w:tcPr>
            <w:tcW w:w="812" w:type="pct"/>
            <w:gridSpan w:val="2"/>
            <w:vAlign w:val="center"/>
          </w:tcPr>
          <w:p w14:paraId="1D34FAF8">
            <w:pPr>
              <w:pStyle w:val="11"/>
              <w:widowControl w:val="0"/>
              <w:adjustRightInd w:val="0"/>
              <w:snapToGrid w:val="0"/>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rPr>
              <w:t>2710</w:t>
            </w:r>
            <w:r>
              <w:rPr>
                <w:rFonts w:hint="eastAsia" w:ascii="宋体" w:hAnsi="宋体" w:cs="宋体"/>
                <w:color w:val="auto"/>
                <w:highlight w:val="none"/>
                <w:lang w:val="en-US" w:eastAsia="zh-CN"/>
              </w:rPr>
              <w:t>27</w:t>
            </w:r>
          </w:p>
        </w:tc>
      </w:tr>
      <w:tr w14:paraId="53C7A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73E4E975">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经营产品</w:t>
            </w:r>
          </w:p>
        </w:tc>
        <w:tc>
          <w:tcPr>
            <w:tcW w:w="4237" w:type="pct"/>
            <w:gridSpan w:val="11"/>
            <w:vAlign w:val="center"/>
          </w:tcPr>
          <w:p w14:paraId="2FDD31AE">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汽油、柴油</w:t>
            </w:r>
          </w:p>
        </w:tc>
      </w:tr>
      <w:tr w14:paraId="19B709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2CDAFD32">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登记机关</w:t>
            </w:r>
          </w:p>
        </w:tc>
        <w:tc>
          <w:tcPr>
            <w:tcW w:w="4237" w:type="pct"/>
            <w:gridSpan w:val="11"/>
            <w:vAlign w:val="center"/>
          </w:tcPr>
          <w:p w14:paraId="683022E1">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泰安市岱岳区行政审批服务局</w:t>
            </w:r>
          </w:p>
        </w:tc>
      </w:tr>
      <w:tr w14:paraId="584973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1DE20B9D">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法定代表人</w:t>
            </w:r>
          </w:p>
        </w:tc>
        <w:tc>
          <w:tcPr>
            <w:tcW w:w="2042" w:type="pct"/>
            <w:gridSpan w:val="5"/>
            <w:vAlign w:val="center"/>
          </w:tcPr>
          <w:p w14:paraId="03E4571D">
            <w:pPr>
              <w:pStyle w:val="11"/>
              <w:widowControl w:val="0"/>
              <w:adjustRightInd w:val="0"/>
              <w:snapToGrid w:val="0"/>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王珊</w:t>
            </w:r>
          </w:p>
        </w:tc>
        <w:tc>
          <w:tcPr>
            <w:tcW w:w="785" w:type="pct"/>
            <w:gridSpan w:val="2"/>
            <w:vAlign w:val="center"/>
          </w:tcPr>
          <w:p w14:paraId="69EE952D">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站长</w:t>
            </w:r>
          </w:p>
        </w:tc>
        <w:tc>
          <w:tcPr>
            <w:tcW w:w="1409" w:type="pct"/>
            <w:gridSpan w:val="4"/>
            <w:vAlign w:val="center"/>
          </w:tcPr>
          <w:p w14:paraId="00DDCE8C">
            <w:pPr>
              <w:pStyle w:val="11"/>
              <w:widowControl w:val="0"/>
              <w:adjustRightInd w:val="0"/>
              <w:snapToGrid w:val="0"/>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路轶</w:t>
            </w:r>
          </w:p>
        </w:tc>
      </w:tr>
      <w:tr w14:paraId="23F68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trPr>
        <w:tc>
          <w:tcPr>
            <w:tcW w:w="762" w:type="pct"/>
            <w:vAlign w:val="center"/>
          </w:tcPr>
          <w:p w14:paraId="14D74668">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职工人数</w:t>
            </w:r>
          </w:p>
        </w:tc>
        <w:tc>
          <w:tcPr>
            <w:tcW w:w="770" w:type="pct"/>
            <w:vAlign w:val="center"/>
          </w:tcPr>
          <w:p w14:paraId="21B4AECB">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人</w:t>
            </w:r>
          </w:p>
        </w:tc>
        <w:tc>
          <w:tcPr>
            <w:tcW w:w="1272" w:type="pct"/>
            <w:gridSpan w:val="4"/>
            <w:vAlign w:val="center"/>
          </w:tcPr>
          <w:p w14:paraId="2BA25F44">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站长</w:t>
            </w:r>
          </w:p>
        </w:tc>
        <w:tc>
          <w:tcPr>
            <w:tcW w:w="785" w:type="pct"/>
            <w:gridSpan w:val="2"/>
            <w:vAlign w:val="center"/>
          </w:tcPr>
          <w:p w14:paraId="0F2D6C0D">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1</w:t>
            </w:r>
          </w:p>
        </w:tc>
        <w:tc>
          <w:tcPr>
            <w:tcW w:w="597" w:type="pct"/>
            <w:gridSpan w:val="2"/>
            <w:vAlign w:val="center"/>
          </w:tcPr>
          <w:p w14:paraId="5C96F8FA">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安全员</w:t>
            </w:r>
          </w:p>
        </w:tc>
        <w:tc>
          <w:tcPr>
            <w:tcW w:w="812" w:type="pct"/>
            <w:gridSpan w:val="2"/>
            <w:vAlign w:val="center"/>
          </w:tcPr>
          <w:p w14:paraId="26DA68E3">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1</w:t>
            </w:r>
          </w:p>
        </w:tc>
      </w:tr>
      <w:tr w14:paraId="1F7BBE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restart"/>
            <w:vAlign w:val="center"/>
          </w:tcPr>
          <w:p w14:paraId="447FBC3D">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经营场所</w:t>
            </w:r>
          </w:p>
        </w:tc>
        <w:tc>
          <w:tcPr>
            <w:tcW w:w="770" w:type="pct"/>
            <w:vAlign w:val="center"/>
          </w:tcPr>
          <w:p w14:paraId="73653F82">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产  权</w:t>
            </w:r>
          </w:p>
        </w:tc>
        <w:tc>
          <w:tcPr>
            <w:tcW w:w="3467" w:type="pct"/>
            <w:gridSpan w:val="10"/>
            <w:vAlign w:val="center"/>
          </w:tcPr>
          <w:p w14:paraId="0E4245C8">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自有□租赁</w:t>
            </w:r>
            <w:r>
              <w:rPr>
                <w:rFonts w:hint="eastAsia" w:ascii="Segoe UI Symbol" w:hAnsi="Segoe UI Symbol" w:cs="Segoe UI Symbol"/>
                <w:bCs/>
                <w:color w:val="auto"/>
                <w:highlight w:val="none"/>
              </w:rPr>
              <w:t>☑</w:t>
            </w:r>
            <w:r>
              <w:rPr>
                <w:rFonts w:hint="eastAsia" w:ascii="宋体" w:hAnsi="宋体" w:cs="宋体"/>
                <w:bCs/>
                <w:color w:val="auto"/>
                <w:highlight w:val="none"/>
              </w:rPr>
              <w:t>承包□</w:t>
            </w:r>
          </w:p>
        </w:tc>
      </w:tr>
      <w:tr w14:paraId="639E97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continue"/>
            <w:vAlign w:val="center"/>
          </w:tcPr>
          <w:p w14:paraId="694190F4">
            <w:pPr>
              <w:pStyle w:val="11"/>
              <w:widowControl w:val="0"/>
              <w:adjustRightInd w:val="0"/>
              <w:snapToGrid w:val="0"/>
              <w:spacing w:line="360" w:lineRule="auto"/>
              <w:rPr>
                <w:rFonts w:ascii="宋体" w:hAnsi="宋体" w:cs="宋体"/>
                <w:bCs/>
                <w:color w:val="auto"/>
                <w:highlight w:val="none"/>
              </w:rPr>
            </w:pPr>
          </w:p>
        </w:tc>
        <w:tc>
          <w:tcPr>
            <w:tcW w:w="770" w:type="pct"/>
            <w:vAlign w:val="center"/>
          </w:tcPr>
          <w:p w14:paraId="1362C4D3">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站房面积</w:t>
            </w:r>
          </w:p>
        </w:tc>
        <w:tc>
          <w:tcPr>
            <w:tcW w:w="586" w:type="pct"/>
            <w:gridSpan w:val="2"/>
            <w:vAlign w:val="center"/>
          </w:tcPr>
          <w:p w14:paraId="4F258082">
            <w:pPr>
              <w:pStyle w:val="11"/>
              <w:widowControl w:val="0"/>
              <w:adjustRightInd w:val="0"/>
              <w:snapToGrid w:val="0"/>
              <w:spacing w:line="360" w:lineRule="auto"/>
              <w:rPr>
                <w:rFonts w:ascii="宋体" w:hAnsi="宋体" w:cs="宋体"/>
                <w:color w:val="auto"/>
                <w:highlight w:val="none"/>
              </w:rPr>
            </w:pPr>
            <w:r>
              <w:rPr>
                <w:rFonts w:hint="eastAsia" w:ascii="宋体" w:hAnsi="宋体" w:eastAsia="宋体" w:cs="宋体"/>
                <w:bCs/>
                <w:color w:val="auto"/>
                <w:highlight w:val="none"/>
                <w:lang w:val="en-US" w:eastAsia="zh-CN"/>
              </w:rPr>
              <w:t>195m</w:t>
            </w:r>
            <w:r>
              <w:rPr>
                <w:rFonts w:hint="eastAsia" w:ascii="宋体" w:hAnsi="宋体" w:eastAsia="宋体" w:cs="宋体"/>
                <w:bCs/>
                <w:color w:val="auto"/>
                <w:highlight w:val="none"/>
                <w:vertAlign w:val="superscript"/>
                <w:lang w:val="en-US" w:eastAsia="zh-CN"/>
              </w:rPr>
              <w:t>2</w:t>
            </w:r>
          </w:p>
        </w:tc>
        <w:tc>
          <w:tcPr>
            <w:tcW w:w="686" w:type="pct"/>
            <w:gridSpan w:val="2"/>
            <w:vAlign w:val="center"/>
          </w:tcPr>
          <w:p w14:paraId="6CBFDB5B">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罩棚面积</w:t>
            </w:r>
          </w:p>
        </w:tc>
        <w:tc>
          <w:tcPr>
            <w:tcW w:w="785" w:type="pct"/>
            <w:gridSpan w:val="2"/>
            <w:vAlign w:val="center"/>
          </w:tcPr>
          <w:p w14:paraId="174F33FD">
            <w:pPr>
              <w:pStyle w:val="11"/>
              <w:widowControl w:val="0"/>
              <w:adjustRightInd w:val="0"/>
              <w:snapToGrid w:val="0"/>
              <w:spacing w:line="360" w:lineRule="auto"/>
              <w:rPr>
                <w:rFonts w:ascii="宋体" w:hAnsi="宋体" w:cs="宋体"/>
                <w:color w:val="auto"/>
                <w:highlight w:val="none"/>
              </w:rPr>
            </w:pPr>
            <w:r>
              <w:rPr>
                <w:rFonts w:hint="eastAsia" w:ascii="宋体" w:hAnsi="宋体" w:cs="宋体"/>
                <w:bCs/>
                <w:color w:val="auto"/>
                <w:highlight w:val="none"/>
                <w:lang w:val="en-US" w:eastAsia="zh-CN"/>
              </w:rPr>
              <w:t>30</w:t>
            </w:r>
            <w:r>
              <w:rPr>
                <w:rFonts w:hint="eastAsia" w:ascii="宋体" w:hAnsi="宋体" w:cs="宋体"/>
                <w:bCs/>
                <w:color w:val="auto"/>
                <w:highlight w:val="none"/>
              </w:rPr>
              <w:t>0m</w:t>
            </w:r>
            <w:r>
              <w:rPr>
                <w:rFonts w:hint="eastAsia" w:ascii="宋体" w:hAnsi="宋体" w:cs="宋体"/>
                <w:bCs/>
                <w:color w:val="auto"/>
                <w:highlight w:val="none"/>
                <w:vertAlign w:val="superscript"/>
              </w:rPr>
              <w:t>2</w:t>
            </w:r>
          </w:p>
        </w:tc>
        <w:tc>
          <w:tcPr>
            <w:tcW w:w="597" w:type="pct"/>
            <w:gridSpan w:val="2"/>
            <w:vAlign w:val="center"/>
          </w:tcPr>
          <w:p w14:paraId="548A2330">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罩棚高度</w:t>
            </w:r>
          </w:p>
        </w:tc>
        <w:tc>
          <w:tcPr>
            <w:tcW w:w="812" w:type="pct"/>
            <w:gridSpan w:val="2"/>
            <w:vAlign w:val="center"/>
          </w:tcPr>
          <w:p w14:paraId="5274BDB5">
            <w:pPr>
              <w:pStyle w:val="11"/>
              <w:widowControl w:val="0"/>
              <w:adjustRightInd w:val="0"/>
              <w:snapToGrid w:val="0"/>
              <w:spacing w:line="360" w:lineRule="auto"/>
              <w:rPr>
                <w:rFonts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6m</w:t>
            </w:r>
          </w:p>
        </w:tc>
      </w:tr>
      <w:tr w14:paraId="113783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restart"/>
            <w:vAlign w:val="center"/>
          </w:tcPr>
          <w:p w14:paraId="5621464A">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储存设施</w:t>
            </w:r>
          </w:p>
        </w:tc>
        <w:tc>
          <w:tcPr>
            <w:tcW w:w="770" w:type="pct"/>
            <w:vAlign w:val="center"/>
          </w:tcPr>
          <w:p w14:paraId="5592629E">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汽油</w:t>
            </w:r>
          </w:p>
        </w:tc>
        <w:tc>
          <w:tcPr>
            <w:tcW w:w="2057" w:type="pct"/>
            <w:gridSpan w:val="6"/>
            <w:vAlign w:val="center"/>
          </w:tcPr>
          <w:p w14:paraId="6BDE2A27">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2个92#汽油罐，1个95#汽油罐，</w:t>
            </w:r>
          </w:p>
          <w:p w14:paraId="45040371">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每罐容积为</w:t>
            </w:r>
            <w:r>
              <w:rPr>
                <w:rFonts w:hint="eastAsia" w:ascii="宋体" w:hAnsi="宋体" w:cs="宋体"/>
                <w:bCs/>
                <w:color w:val="auto"/>
                <w:highlight w:val="none"/>
                <w:u w:val="single"/>
              </w:rPr>
              <w:t xml:space="preserve"> </w:t>
            </w:r>
            <w:r>
              <w:rPr>
                <w:rFonts w:hint="eastAsia" w:ascii="宋体" w:hAnsi="宋体" w:cs="宋体"/>
                <w:bCs/>
                <w:color w:val="auto"/>
                <w:highlight w:val="none"/>
                <w:u w:val="single"/>
                <w:lang w:val="en-US" w:eastAsia="zh-CN"/>
              </w:rPr>
              <w:t>3</w:t>
            </w:r>
            <w:r>
              <w:rPr>
                <w:rFonts w:hint="eastAsia" w:ascii="宋体" w:hAnsi="宋体" w:cs="宋体"/>
                <w:bCs/>
                <w:color w:val="auto"/>
                <w:highlight w:val="none"/>
                <w:u w:val="single"/>
              </w:rPr>
              <w:t xml:space="preserve">0 </w:t>
            </w:r>
            <w:r>
              <w:rPr>
                <w:rFonts w:hint="eastAsia" w:ascii="宋体" w:hAnsi="宋体" w:cs="宋体"/>
                <w:bCs/>
                <w:color w:val="auto"/>
                <w:highlight w:val="none"/>
              </w:rPr>
              <w:t>m³</w:t>
            </w:r>
          </w:p>
        </w:tc>
        <w:tc>
          <w:tcPr>
            <w:tcW w:w="1409" w:type="pct"/>
            <w:gridSpan w:val="4"/>
            <w:vMerge w:val="restart"/>
            <w:vAlign w:val="center"/>
          </w:tcPr>
          <w:p w14:paraId="4604E7D5">
            <w:pPr>
              <w:pStyle w:val="11"/>
              <w:widowControl w:val="0"/>
              <w:adjustRightInd w:val="0"/>
              <w:snapToGrid w:val="0"/>
              <w:spacing w:line="240" w:lineRule="auto"/>
              <w:rPr>
                <w:rStyle w:val="5"/>
                <w:rFonts w:ascii="宋体" w:hAnsi="宋体" w:cs="宋体"/>
                <w:color w:val="auto"/>
                <w:highlight w:val="none"/>
              </w:rPr>
            </w:pPr>
            <w:r>
              <w:rPr>
                <w:rFonts w:hint="eastAsia" w:ascii="宋体" w:hAnsi="宋体" w:cs="宋体"/>
                <w:bCs/>
                <w:color w:val="auto"/>
                <w:highlight w:val="none"/>
              </w:rPr>
              <w:t>是否为双层罐：是☑否□</w:t>
            </w:r>
          </w:p>
          <w:p w14:paraId="453EB1CB">
            <w:pPr>
              <w:pStyle w:val="11"/>
              <w:widowControl w:val="0"/>
              <w:adjustRightInd w:val="0"/>
              <w:snapToGrid w:val="0"/>
              <w:spacing w:line="240" w:lineRule="auto"/>
              <w:rPr>
                <w:rFonts w:ascii="宋体" w:hAnsi="宋体" w:cs="宋体"/>
                <w:color w:val="auto"/>
                <w:highlight w:val="none"/>
                <w:vertAlign w:val="superscript"/>
              </w:rPr>
            </w:pPr>
            <w:r>
              <w:rPr>
                <w:rFonts w:hint="eastAsia" w:ascii="宋体" w:hAnsi="宋体" w:cs="宋体"/>
                <w:color w:val="auto"/>
                <w:highlight w:val="none"/>
              </w:rPr>
              <w:t>储存能力：120</w:t>
            </w:r>
            <w:r>
              <w:rPr>
                <w:rFonts w:hint="eastAsia" w:ascii="宋体" w:hAnsi="宋体" w:cs="宋体"/>
                <w:bCs/>
                <w:color w:val="auto"/>
                <w:highlight w:val="none"/>
              </w:rPr>
              <w:t>m</w:t>
            </w:r>
            <w:r>
              <w:rPr>
                <w:rFonts w:hint="eastAsia" w:ascii="宋体" w:hAnsi="宋体" w:cs="宋体"/>
                <w:color w:val="auto"/>
                <w:highlight w:val="none"/>
                <w:vertAlign w:val="superscript"/>
              </w:rPr>
              <w:t>3</w:t>
            </w:r>
          </w:p>
        </w:tc>
      </w:tr>
      <w:tr w14:paraId="1CBF19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continue"/>
            <w:vAlign w:val="center"/>
          </w:tcPr>
          <w:p w14:paraId="19B4F08D">
            <w:pPr>
              <w:pStyle w:val="11"/>
              <w:widowControl w:val="0"/>
              <w:adjustRightInd w:val="0"/>
              <w:snapToGrid w:val="0"/>
              <w:spacing w:line="360" w:lineRule="auto"/>
              <w:rPr>
                <w:rFonts w:ascii="宋体" w:hAnsi="宋体" w:cs="宋体"/>
                <w:bCs/>
                <w:color w:val="auto"/>
                <w:highlight w:val="none"/>
              </w:rPr>
            </w:pPr>
          </w:p>
        </w:tc>
        <w:tc>
          <w:tcPr>
            <w:tcW w:w="770" w:type="pct"/>
            <w:vAlign w:val="center"/>
          </w:tcPr>
          <w:p w14:paraId="4D7D00F4">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柴油</w:t>
            </w:r>
          </w:p>
        </w:tc>
        <w:tc>
          <w:tcPr>
            <w:tcW w:w="2057" w:type="pct"/>
            <w:gridSpan w:val="6"/>
            <w:vAlign w:val="center"/>
          </w:tcPr>
          <w:p w14:paraId="7041B5E2">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1个柴油罐，罐容积为</w:t>
            </w:r>
            <w:r>
              <w:rPr>
                <w:rFonts w:hint="eastAsia" w:ascii="宋体" w:hAnsi="宋体" w:cs="宋体"/>
                <w:bCs/>
                <w:color w:val="auto"/>
                <w:highlight w:val="none"/>
                <w:u w:val="single"/>
              </w:rPr>
              <w:t xml:space="preserve"> </w:t>
            </w:r>
            <w:r>
              <w:rPr>
                <w:rFonts w:hint="eastAsia" w:ascii="宋体" w:hAnsi="宋体" w:cs="宋体"/>
                <w:bCs/>
                <w:color w:val="auto"/>
                <w:highlight w:val="none"/>
                <w:u w:val="single"/>
                <w:lang w:val="en-US" w:eastAsia="zh-CN"/>
              </w:rPr>
              <w:t>3</w:t>
            </w:r>
            <w:r>
              <w:rPr>
                <w:rFonts w:hint="eastAsia" w:ascii="宋体" w:hAnsi="宋体" w:cs="宋体"/>
                <w:bCs/>
                <w:color w:val="auto"/>
                <w:highlight w:val="none"/>
                <w:u w:val="single"/>
              </w:rPr>
              <w:t xml:space="preserve">0 </w:t>
            </w:r>
            <w:r>
              <w:rPr>
                <w:rFonts w:hint="eastAsia" w:ascii="宋体" w:hAnsi="宋体" w:cs="宋体"/>
                <w:bCs/>
                <w:color w:val="auto"/>
                <w:highlight w:val="none"/>
              </w:rPr>
              <w:t>m³</w:t>
            </w:r>
          </w:p>
        </w:tc>
        <w:tc>
          <w:tcPr>
            <w:tcW w:w="1409" w:type="pct"/>
            <w:gridSpan w:val="4"/>
            <w:vMerge w:val="continue"/>
            <w:vAlign w:val="center"/>
          </w:tcPr>
          <w:p w14:paraId="23EB80F6">
            <w:pPr>
              <w:pStyle w:val="11"/>
              <w:widowControl w:val="0"/>
              <w:adjustRightInd w:val="0"/>
              <w:snapToGrid w:val="0"/>
              <w:spacing w:line="360" w:lineRule="auto"/>
              <w:rPr>
                <w:rFonts w:ascii="宋体" w:hAnsi="宋体" w:cs="宋体"/>
                <w:bCs/>
                <w:color w:val="auto"/>
                <w:highlight w:val="none"/>
              </w:rPr>
            </w:pPr>
          </w:p>
        </w:tc>
      </w:tr>
      <w:tr w14:paraId="3FF98D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restart"/>
            <w:vAlign w:val="center"/>
          </w:tcPr>
          <w:p w14:paraId="6A437123">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加油设施</w:t>
            </w:r>
          </w:p>
        </w:tc>
        <w:tc>
          <w:tcPr>
            <w:tcW w:w="770" w:type="pct"/>
            <w:vAlign w:val="center"/>
          </w:tcPr>
          <w:p w14:paraId="385839C9">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加油机</w:t>
            </w:r>
          </w:p>
        </w:tc>
        <w:tc>
          <w:tcPr>
            <w:tcW w:w="3467" w:type="pct"/>
            <w:gridSpan w:val="10"/>
            <w:vAlign w:val="center"/>
          </w:tcPr>
          <w:p w14:paraId="2BADA757">
            <w:pPr>
              <w:pStyle w:val="11"/>
              <w:widowControl w:val="0"/>
              <w:adjustRightInd w:val="0"/>
              <w:snapToGrid w:val="0"/>
              <w:spacing w:line="360" w:lineRule="auto"/>
              <w:rPr>
                <w:rFonts w:ascii="宋体" w:hAnsi="宋体" w:cs="宋体"/>
                <w:bCs/>
                <w:color w:val="auto"/>
                <w:highlight w:val="none"/>
              </w:rPr>
            </w:pPr>
            <w:r>
              <w:rPr>
                <w:rFonts w:hint="eastAsia"/>
                <w:color w:val="auto"/>
                <w:highlight w:val="none"/>
              </w:rPr>
              <w:t>2台</w:t>
            </w:r>
            <w:r>
              <w:rPr>
                <w:rFonts w:hint="eastAsia"/>
                <w:color w:val="auto"/>
                <w:highlight w:val="none"/>
                <w:lang w:val="en-US" w:eastAsia="zh-CN"/>
              </w:rPr>
              <w:t>单</w:t>
            </w:r>
            <w:r>
              <w:rPr>
                <w:rFonts w:hint="eastAsia"/>
                <w:color w:val="auto"/>
                <w:highlight w:val="none"/>
              </w:rPr>
              <w:t>枪加油机（柴油）</w:t>
            </w:r>
            <w:r>
              <w:rPr>
                <w:rFonts w:hint="eastAsia"/>
                <w:color w:val="auto"/>
                <w:highlight w:val="none"/>
                <w:lang w:eastAsia="zh-CN"/>
              </w:rPr>
              <w:t>、</w:t>
            </w:r>
            <w:r>
              <w:rPr>
                <w:rFonts w:hint="eastAsia"/>
                <w:color w:val="auto"/>
                <w:highlight w:val="none"/>
                <w:lang w:val="en-US" w:eastAsia="zh-CN"/>
              </w:rPr>
              <w:t>3</w:t>
            </w:r>
            <w:r>
              <w:rPr>
                <w:rFonts w:hint="eastAsia"/>
                <w:color w:val="auto"/>
                <w:highlight w:val="none"/>
              </w:rPr>
              <w:t>台双枪加油</w:t>
            </w:r>
            <w:r>
              <w:rPr>
                <w:rFonts w:hint="eastAsia" w:ascii="Times New Roman" w:hAnsi="Times New Roman" w:eastAsia="宋体" w:cs="Times New Roman"/>
                <w:color w:val="auto"/>
                <w:highlight w:val="none"/>
                <w:lang w:val="en-US" w:eastAsia="zh-CN"/>
              </w:rPr>
              <w:t>机（92#/95#汽油）</w:t>
            </w:r>
          </w:p>
        </w:tc>
      </w:tr>
      <w:tr w14:paraId="459ABC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continue"/>
            <w:vAlign w:val="center"/>
          </w:tcPr>
          <w:p w14:paraId="63C37E1E">
            <w:pPr>
              <w:pStyle w:val="11"/>
              <w:widowControl w:val="0"/>
              <w:adjustRightInd w:val="0"/>
              <w:snapToGrid w:val="0"/>
              <w:spacing w:line="360" w:lineRule="auto"/>
              <w:rPr>
                <w:rFonts w:ascii="宋体" w:hAnsi="宋体" w:cs="宋体"/>
                <w:bCs/>
                <w:color w:val="auto"/>
                <w:highlight w:val="none"/>
              </w:rPr>
            </w:pPr>
          </w:p>
        </w:tc>
        <w:tc>
          <w:tcPr>
            <w:tcW w:w="770" w:type="pct"/>
            <w:vAlign w:val="center"/>
          </w:tcPr>
          <w:p w14:paraId="5DCA3F41">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加油方式</w:t>
            </w:r>
          </w:p>
        </w:tc>
        <w:tc>
          <w:tcPr>
            <w:tcW w:w="3467" w:type="pct"/>
            <w:gridSpan w:val="10"/>
            <w:vAlign w:val="center"/>
          </w:tcPr>
          <w:p w14:paraId="32E99235">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潜油泵式☑ 自吸式□</w:t>
            </w:r>
          </w:p>
        </w:tc>
      </w:tr>
      <w:tr w14:paraId="544A25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restart"/>
            <w:vAlign w:val="center"/>
          </w:tcPr>
          <w:p w14:paraId="5C4A754A">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消防设施</w:t>
            </w:r>
          </w:p>
        </w:tc>
        <w:tc>
          <w:tcPr>
            <w:tcW w:w="770" w:type="pct"/>
            <w:vAlign w:val="center"/>
          </w:tcPr>
          <w:p w14:paraId="2F829025">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推车式35</w:t>
            </w:r>
            <w:r>
              <w:rPr>
                <w:rFonts w:hint="eastAsia" w:ascii="宋体" w:hAnsi="宋体" w:cs="宋体"/>
                <w:color w:val="auto"/>
                <w:highlight w:val="none"/>
              </w:rPr>
              <w:t xml:space="preserve"> kg</w:t>
            </w:r>
            <w:r>
              <w:rPr>
                <w:rFonts w:hint="eastAsia" w:ascii="宋体" w:hAnsi="宋体" w:cs="宋体"/>
                <w:bCs/>
                <w:color w:val="auto"/>
                <w:highlight w:val="none"/>
              </w:rPr>
              <w:t>干粉灭火器</w:t>
            </w:r>
          </w:p>
        </w:tc>
        <w:tc>
          <w:tcPr>
            <w:tcW w:w="586" w:type="pct"/>
            <w:gridSpan w:val="2"/>
            <w:vAlign w:val="center"/>
          </w:tcPr>
          <w:p w14:paraId="3EE0A35F">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2具</w:t>
            </w:r>
          </w:p>
        </w:tc>
        <w:tc>
          <w:tcPr>
            <w:tcW w:w="1471" w:type="pct"/>
            <w:gridSpan w:val="4"/>
            <w:vAlign w:val="center"/>
          </w:tcPr>
          <w:p w14:paraId="4AE85BBD">
            <w:pPr>
              <w:pStyle w:val="11"/>
              <w:widowControl w:val="0"/>
              <w:adjustRightInd w:val="0"/>
              <w:snapToGrid w:val="0"/>
              <w:spacing w:line="360" w:lineRule="auto"/>
              <w:rPr>
                <w:rFonts w:ascii="宋体" w:hAnsi="宋体" w:cs="宋体"/>
                <w:color w:val="auto"/>
                <w:highlight w:val="none"/>
              </w:rPr>
            </w:pPr>
            <w:r>
              <w:rPr>
                <w:rFonts w:hint="eastAsia" w:ascii="宋体" w:hAnsi="宋体" w:cs="宋体"/>
                <w:bCs/>
                <w:color w:val="auto"/>
                <w:highlight w:val="none"/>
              </w:rPr>
              <w:t>8kg手提式干粉灭火器</w:t>
            </w:r>
          </w:p>
        </w:tc>
        <w:tc>
          <w:tcPr>
            <w:tcW w:w="1409" w:type="pct"/>
            <w:gridSpan w:val="4"/>
            <w:vAlign w:val="center"/>
          </w:tcPr>
          <w:p w14:paraId="4F142E89">
            <w:pPr>
              <w:pStyle w:val="11"/>
              <w:widowControl w:val="0"/>
              <w:adjustRightInd w:val="0"/>
              <w:snapToGrid w:val="0"/>
              <w:spacing w:line="360" w:lineRule="auto"/>
              <w:rPr>
                <w:rFonts w:ascii="宋体" w:hAnsi="宋体" w:cs="宋体"/>
                <w:color w:val="auto"/>
                <w:highlight w:val="none"/>
              </w:rPr>
            </w:pPr>
            <w:r>
              <w:rPr>
                <w:rFonts w:hint="eastAsia" w:ascii="宋体" w:hAnsi="宋体" w:cs="宋体"/>
                <w:bCs/>
                <w:color w:val="auto"/>
                <w:highlight w:val="none"/>
                <w:lang w:val="en-US" w:eastAsia="zh-CN"/>
              </w:rPr>
              <w:t>10</w:t>
            </w:r>
            <w:r>
              <w:rPr>
                <w:rFonts w:hint="eastAsia" w:ascii="宋体" w:hAnsi="宋体" w:cs="宋体"/>
                <w:bCs/>
                <w:color w:val="auto"/>
                <w:highlight w:val="none"/>
              </w:rPr>
              <w:t>具</w:t>
            </w:r>
          </w:p>
        </w:tc>
      </w:tr>
      <w:tr w14:paraId="77EA87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continue"/>
            <w:vAlign w:val="center"/>
          </w:tcPr>
          <w:p w14:paraId="3B8F354A">
            <w:pPr>
              <w:pStyle w:val="11"/>
              <w:widowControl w:val="0"/>
              <w:adjustRightInd w:val="0"/>
              <w:snapToGrid w:val="0"/>
              <w:spacing w:line="360" w:lineRule="auto"/>
              <w:rPr>
                <w:rFonts w:ascii="宋体" w:hAnsi="宋体" w:cs="宋体"/>
                <w:bCs/>
                <w:color w:val="auto"/>
                <w:highlight w:val="none"/>
              </w:rPr>
            </w:pPr>
          </w:p>
        </w:tc>
        <w:tc>
          <w:tcPr>
            <w:tcW w:w="1356" w:type="pct"/>
            <w:gridSpan w:val="3"/>
            <w:vAlign w:val="center"/>
          </w:tcPr>
          <w:p w14:paraId="7FFC3205">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消防锨</w:t>
            </w:r>
          </w:p>
        </w:tc>
        <w:tc>
          <w:tcPr>
            <w:tcW w:w="1471" w:type="pct"/>
            <w:gridSpan w:val="4"/>
            <w:vAlign w:val="center"/>
          </w:tcPr>
          <w:p w14:paraId="0917D75E">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lang w:val="en-US" w:eastAsia="zh-CN"/>
              </w:rPr>
              <w:t>4</w:t>
            </w:r>
            <w:r>
              <w:rPr>
                <w:rFonts w:hint="eastAsia" w:ascii="宋体" w:hAnsi="宋体" w:cs="宋体"/>
                <w:bCs/>
                <w:color w:val="auto"/>
                <w:highlight w:val="none"/>
              </w:rPr>
              <w:t>把</w:t>
            </w:r>
          </w:p>
        </w:tc>
        <w:tc>
          <w:tcPr>
            <w:tcW w:w="684" w:type="pct"/>
            <w:gridSpan w:val="3"/>
            <w:vAlign w:val="center"/>
          </w:tcPr>
          <w:p w14:paraId="72ADD3D6">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灭火毯</w:t>
            </w:r>
          </w:p>
        </w:tc>
        <w:tc>
          <w:tcPr>
            <w:tcW w:w="725" w:type="pct"/>
            <w:vAlign w:val="center"/>
          </w:tcPr>
          <w:p w14:paraId="11A4BCC5">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lang w:val="en-US" w:eastAsia="zh-CN"/>
              </w:rPr>
              <w:t>5</w:t>
            </w:r>
            <w:r>
              <w:rPr>
                <w:rFonts w:hint="eastAsia" w:ascii="宋体" w:hAnsi="宋体" w:cs="宋体"/>
                <w:bCs/>
                <w:color w:val="auto"/>
                <w:highlight w:val="none"/>
              </w:rPr>
              <w:t>块</w:t>
            </w:r>
          </w:p>
        </w:tc>
      </w:tr>
      <w:tr w14:paraId="5762B9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trPr>
        <w:tc>
          <w:tcPr>
            <w:tcW w:w="762" w:type="pct"/>
            <w:vMerge w:val="continue"/>
            <w:vAlign w:val="center"/>
          </w:tcPr>
          <w:p w14:paraId="7B4F450B">
            <w:pPr>
              <w:pStyle w:val="11"/>
              <w:widowControl w:val="0"/>
              <w:adjustRightInd w:val="0"/>
              <w:snapToGrid w:val="0"/>
              <w:spacing w:line="360" w:lineRule="auto"/>
              <w:rPr>
                <w:rFonts w:ascii="宋体" w:hAnsi="宋体" w:cs="宋体"/>
                <w:bCs/>
                <w:color w:val="auto"/>
                <w:highlight w:val="none"/>
              </w:rPr>
            </w:pPr>
          </w:p>
        </w:tc>
        <w:tc>
          <w:tcPr>
            <w:tcW w:w="770" w:type="pct"/>
            <w:vAlign w:val="center"/>
          </w:tcPr>
          <w:p w14:paraId="2B18B69A">
            <w:pPr>
              <w:pStyle w:val="11"/>
              <w:widowControl w:val="0"/>
              <w:tabs>
                <w:tab w:val="left" w:pos="593"/>
              </w:tabs>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消防桶</w:t>
            </w:r>
          </w:p>
        </w:tc>
        <w:tc>
          <w:tcPr>
            <w:tcW w:w="1152" w:type="pct"/>
            <w:gridSpan w:val="3"/>
            <w:vAlign w:val="center"/>
          </w:tcPr>
          <w:p w14:paraId="6E21F24E">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lang w:val="en-US" w:eastAsia="zh-CN"/>
              </w:rPr>
              <w:t>4</w:t>
            </w:r>
            <w:r>
              <w:rPr>
                <w:rFonts w:hint="eastAsia" w:ascii="宋体" w:hAnsi="宋体" w:cs="宋体"/>
                <w:bCs/>
                <w:color w:val="auto"/>
                <w:highlight w:val="none"/>
              </w:rPr>
              <w:t>个</w:t>
            </w:r>
          </w:p>
        </w:tc>
        <w:tc>
          <w:tcPr>
            <w:tcW w:w="1307" w:type="pct"/>
            <w:gridSpan w:val="4"/>
            <w:vAlign w:val="center"/>
          </w:tcPr>
          <w:p w14:paraId="27599BAA">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消防沙池</w:t>
            </w:r>
          </w:p>
        </w:tc>
        <w:tc>
          <w:tcPr>
            <w:tcW w:w="1007" w:type="pct"/>
            <w:gridSpan w:val="3"/>
            <w:vAlign w:val="center"/>
          </w:tcPr>
          <w:p w14:paraId="33B59004">
            <w:pPr>
              <w:pStyle w:val="11"/>
              <w:widowControl w:val="0"/>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2m</w:t>
            </w:r>
            <w:r>
              <w:rPr>
                <w:rFonts w:hint="eastAsia" w:ascii="宋体" w:hAnsi="宋体" w:cs="宋体"/>
                <w:bCs/>
                <w:color w:val="auto"/>
                <w:highlight w:val="none"/>
                <w:vertAlign w:val="superscript"/>
              </w:rPr>
              <w:t>3</w:t>
            </w:r>
          </w:p>
        </w:tc>
      </w:tr>
    </w:tbl>
    <w:p w14:paraId="2D534B63">
      <w:pPr>
        <w:pStyle w:val="9"/>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CFA60DF">
      <w:pPr>
        <w:snapToGrid w:val="0"/>
        <w:spacing w:line="360" w:lineRule="auto"/>
        <w:jc w:val="center"/>
        <w:outlineLvl w:val="1"/>
        <w:rPr>
          <w:rFonts w:ascii="Calibri" w:hAnsi="Calibri" w:eastAsia="楷体_GB2312"/>
          <w:b/>
          <w:color w:val="auto"/>
          <w:kern w:val="0"/>
          <w:sz w:val="32"/>
          <w:szCs w:val="20"/>
        </w:rPr>
      </w:pPr>
      <w:bookmarkStart w:id="18" w:name="_Toc102634407"/>
      <w:bookmarkStart w:id="19" w:name="_Toc7829"/>
      <w:bookmarkStart w:id="20" w:name="_Toc23543"/>
      <w:bookmarkStart w:id="21" w:name="_Toc198026273"/>
      <w:bookmarkStart w:id="22" w:name="_Toc102634256"/>
      <w:bookmarkStart w:id="23" w:name="_Toc192907201"/>
      <w:bookmarkStart w:id="24" w:name="_Toc272364536"/>
      <w:bookmarkStart w:id="25" w:name="_Toc15033754"/>
      <w:bookmarkStart w:id="26" w:name="_Toc102633907"/>
      <w:bookmarkStart w:id="27" w:name="_Toc238007574"/>
      <w:bookmarkStart w:id="28" w:name="_Toc102633981"/>
      <w:r>
        <w:rPr>
          <w:rFonts w:ascii="Calibri" w:hAnsi="Calibri" w:eastAsia="楷体_GB2312"/>
          <w:b/>
          <w:color w:val="auto"/>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29" w:name="_Toc102634257"/>
      <w:r>
        <w:rPr>
          <w:rFonts w:hint="eastAsia"/>
          <w:color w:val="auto"/>
        </w:rPr>
        <w:t>一</w:t>
      </w:r>
      <w:r>
        <w:rPr>
          <w:color w:val="auto"/>
        </w:rPr>
        <w:t>、以危险有害因素的类别为主划分评价单元</w:t>
      </w:r>
      <w:bookmarkEnd w:id="29"/>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0" w:name="_Toc102634258"/>
      <w:r>
        <w:rPr>
          <w:rFonts w:hint="eastAsia"/>
          <w:color w:val="auto"/>
        </w:rPr>
        <w:t>二</w:t>
      </w:r>
      <w:r>
        <w:rPr>
          <w:color w:val="auto"/>
        </w:rPr>
        <w:t>、以物质特征划分评价单元</w:t>
      </w:r>
      <w:bookmarkEnd w:id="30"/>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1" w:name="_Toc238007575"/>
      <w:bookmarkStart w:id="32" w:name="_Toc188079886"/>
      <w:bookmarkStart w:id="33" w:name="_Toc188080068"/>
      <w:bookmarkStart w:id="34" w:name="_Toc24232"/>
      <w:bookmarkStart w:id="35" w:name="_Toc19785"/>
      <w:bookmarkStart w:id="36" w:name="_Toc15033755"/>
      <w:bookmarkStart w:id="37" w:name="_Toc198026274"/>
      <w:bookmarkStart w:id="38" w:name="_Toc192907202"/>
      <w:bookmarkStart w:id="39" w:name="_Toc272364537"/>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0" w:name="_Toc102633982"/>
      <w:bookmarkStart w:id="41" w:name="_Toc102634408"/>
      <w:bookmarkStart w:id="42" w:name="_Toc102634259"/>
      <w:bookmarkStart w:id="43" w:name="_Toc102633908"/>
      <w:r>
        <w:rPr>
          <w:rFonts w:ascii="Calibri" w:hAnsi="Calibri" w:eastAsia="楷体_GB2312"/>
          <w:b/>
          <w:color w:val="auto"/>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泰安泰山油惠加油站有限公司</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4" w:name="_Toc102634276"/>
      <w:bookmarkStart w:id="45" w:name="_Toc102634414"/>
      <w:bookmarkStart w:id="46" w:name="_Toc9894"/>
      <w:bookmarkStart w:id="47" w:name="_Toc102633988"/>
      <w:bookmarkStart w:id="48" w:name="_Toc15033761"/>
      <w:bookmarkStart w:id="49" w:name="_Toc102633914"/>
      <w:r>
        <w:rPr>
          <w:color w:val="auto"/>
        </w:rPr>
        <w:t>第六章  安全对策措施及建议</w:t>
      </w:r>
      <w:bookmarkEnd w:id="44"/>
      <w:bookmarkEnd w:id="45"/>
      <w:bookmarkEnd w:id="46"/>
      <w:bookmarkEnd w:id="47"/>
      <w:bookmarkEnd w:id="48"/>
      <w:bookmarkEnd w:id="49"/>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0" w:name="_Toc225046264"/>
      <w:bookmarkStart w:id="51" w:name="_Toc339456079"/>
      <w:bookmarkStart w:id="52" w:name="_Toc15033762"/>
      <w:bookmarkStart w:id="53" w:name="_Toc102634415"/>
      <w:bookmarkStart w:id="54" w:name="_Toc102634277"/>
      <w:bookmarkStart w:id="55" w:name="_Toc102633915"/>
      <w:bookmarkStart w:id="56" w:name="_Toc4961"/>
      <w:bookmarkStart w:id="57" w:name="_Toc102633989"/>
      <w:bookmarkStart w:id="58" w:name="_Toc242065302"/>
      <w:bookmarkStart w:id="59" w:name="_Toc348877039"/>
      <w:r>
        <w:rPr>
          <w:rFonts w:ascii="Calibri" w:hAnsi="Calibri" w:eastAsia="楷体_GB2312"/>
          <w:b/>
          <w:color w:val="auto"/>
          <w:kern w:val="0"/>
          <w:sz w:val="32"/>
          <w:szCs w:val="20"/>
        </w:rPr>
        <w:t xml:space="preserve">第一节 </w:t>
      </w:r>
      <w:bookmarkEnd w:id="50"/>
      <w:bookmarkEnd w:id="51"/>
      <w:r>
        <w:rPr>
          <w:rFonts w:ascii="Calibri" w:hAnsi="Calibri" w:eastAsia="楷体_GB2312"/>
          <w:b/>
          <w:color w:val="auto"/>
          <w:kern w:val="0"/>
          <w:sz w:val="32"/>
          <w:szCs w:val="20"/>
        </w:rPr>
        <w:t>存在的问题及整改建议</w:t>
      </w:r>
      <w:bookmarkEnd w:id="52"/>
      <w:bookmarkEnd w:id="53"/>
      <w:bookmarkEnd w:id="54"/>
      <w:bookmarkEnd w:id="55"/>
      <w:bookmarkEnd w:id="56"/>
      <w:bookmarkEnd w:id="57"/>
      <w:bookmarkEnd w:id="58"/>
      <w:bookmarkEnd w:id="59"/>
    </w:p>
    <w:p w14:paraId="6ED67031">
      <w:pPr>
        <w:adjustRightInd w:val="0"/>
        <w:snapToGrid w:val="0"/>
        <w:spacing w:line="360" w:lineRule="auto"/>
        <w:ind w:firstLine="560" w:firstLineChars="200"/>
        <w:rPr>
          <w:rFonts w:ascii="宋体"/>
          <w:color w:val="auto"/>
          <w:kern w:val="0"/>
          <w:sz w:val="28"/>
          <w:szCs w:val="20"/>
        </w:rPr>
      </w:pPr>
      <w:bookmarkStart w:id="60" w:name="_Toc15033763"/>
      <w:bookmarkStart w:id="61" w:name="_Toc49590281"/>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0"/>
    <w:bookmarkEnd w:id="61"/>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jc w:val="center"/>
              <w:rPr>
                <w:rFonts w:hint="default" w:ascii="宋体" w:hAnsi="宋体"/>
                <w:color w:val="auto"/>
                <w:kern w:val="0"/>
                <w:u w:color="000000"/>
                <w:lang w:val="en-US" w:eastAsia="zh-CN"/>
              </w:rPr>
            </w:pPr>
            <w:r>
              <w:rPr>
                <w:rFonts w:hint="eastAsia" w:ascii="宋体" w:hAnsi="宋体"/>
                <w:color w:val="auto"/>
                <w:kern w:val="0"/>
                <w:highlight w:val="none"/>
                <w:u w:color="000000"/>
                <w:lang w:val="en-US" w:eastAsia="zh-CN"/>
              </w:rPr>
              <w:t>人体静电释放仪距卸油口不足1.5m；</w:t>
            </w:r>
          </w:p>
        </w:tc>
        <w:tc>
          <w:tcPr>
            <w:tcW w:w="4373" w:type="dxa"/>
            <w:vAlign w:val="center"/>
          </w:tcPr>
          <w:p w14:paraId="0D6B089E">
            <w:pPr>
              <w:jc w:val="center"/>
              <w:rPr>
                <w:rFonts w:hint="default" w:ascii="宋体" w:hAnsi="宋体"/>
                <w:color w:val="auto"/>
                <w:kern w:val="0"/>
                <w:u w:color="000000"/>
                <w:lang w:val="en-US" w:eastAsia="zh-CN"/>
              </w:rPr>
            </w:pPr>
            <w:r>
              <w:rPr>
                <w:rFonts w:hint="eastAsia" w:ascii="宋体" w:hAnsi="宋体"/>
                <w:color w:val="auto"/>
                <w:kern w:val="0"/>
                <w:highlight w:val="none"/>
                <w:u w:color="000000"/>
                <w:lang w:val="en-US" w:eastAsia="zh-CN"/>
              </w:rPr>
              <w:t>人体静电释放仪距卸油口应不小于1.5m。</w:t>
            </w:r>
          </w:p>
        </w:tc>
      </w:tr>
      <w:tr w14:paraId="4625D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A90F02C">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2</w:t>
            </w:r>
          </w:p>
        </w:tc>
        <w:tc>
          <w:tcPr>
            <w:tcW w:w="4212" w:type="dxa"/>
            <w:vAlign w:val="center"/>
          </w:tcPr>
          <w:p w14:paraId="580992BE">
            <w:pPr>
              <w:jc w:val="center"/>
              <w:rPr>
                <w:rFonts w:hint="eastAsia" w:ascii="宋体" w:hAnsi="宋体"/>
                <w:color w:val="auto"/>
                <w:kern w:val="0"/>
                <w:u w:color="000000"/>
                <w:lang w:val="en-US" w:eastAsia="zh-CN"/>
              </w:rPr>
            </w:pPr>
            <w:r>
              <w:rPr>
                <w:rFonts w:hint="eastAsia" w:ascii="宋体" w:hAnsi="宋体"/>
                <w:color w:val="auto"/>
                <w:spacing w:val="10"/>
                <w:highlight w:val="none"/>
                <w:lang w:val="en-US" w:eastAsia="zh-CN"/>
              </w:rPr>
              <w:t>柴油加油机未设置拉断阀；</w:t>
            </w:r>
          </w:p>
        </w:tc>
        <w:tc>
          <w:tcPr>
            <w:tcW w:w="4373" w:type="dxa"/>
            <w:vAlign w:val="center"/>
          </w:tcPr>
          <w:p w14:paraId="107F9ECF">
            <w:pPr>
              <w:jc w:val="center"/>
              <w:rPr>
                <w:rFonts w:hint="eastAsia" w:ascii="宋体" w:hAnsi="宋体"/>
                <w:color w:val="auto"/>
                <w:kern w:val="0"/>
                <w:u w:color="000000"/>
                <w:lang w:val="en-US" w:eastAsia="zh-CN"/>
              </w:rPr>
            </w:pPr>
            <w:r>
              <w:rPr>
                <w:rFonts w:hint="eastAsia" w:ascii="宋体" w:hAnsi="宋体"/>
                <w:color w:val="auto"/>
                <w:spacing w:val="10"/>
                <w:highlight w:val="none"/>
                <w:lang w:val="en-US" w:eastAsia="zh-CN"/>
              </w:rPr>
              <w:t>柴油加油机应设置拉断阀。</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r>
        <w:rPr>
          <w:rFonts w:hint="eastAsia" w:ascii="宋体" w:eastAsia="宋体"/>
          <w:kern w:val="0"/>
          <w:sz w:val="28"/>
          <w:szCs w:val="20"/>
          <w:lang w:val="en-US" w:eastAsia="zh-CN"/>
        </w:rPr>
        <w:drawing>
          <wp:inline distT="0" distB="0" distL="114300" distR="114300">
            <wp:extent cx="5779135" cy="9057005"/>
            <wp:effectExtent l="0" t="0" r="12065" b="10795"/>
            <wp:docPr id="6" name="图片 6" descr="09a19282d89a82a672b731bb31be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9a19282d89a82a672b731bb31be4ff"/>
                    <pic:cNvPicPr>
                      <a:picLocks noChangeAspect="1"/>
                    </pic:cNvPicPr>
                  </pic:nvPicPr>
                  <pic:blipFill>
                    <a:blip r:embed="rId11"/>
                    <a:stretch>
                      <a:fillRect/>
                    </a:stretch>
                  </pic:blipFill>
                  <pic:spPr>
                    <a:xfrm>
                      <a:off x="0" y="0"/>
                      <a:ext cx="5779135" cy="9057005"/>
                    </a:xfrm>
                    <a:prstGeom prst="rect">
                      <a:avLst/>
                    </a:prstGeom>
                  </pic:spPr>
                </pic:pic>
              </a:graphicData>
            </a:graphic>
          </wp:inline>
        </w:drawing>
      </w:r>
    </w:p>
    <w:p w14:paraId="1F9E243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74080" cy="8965565"/>
            <wp:effectExtent l="0" t="0" r="7620" b="6985"/>
            <wp:docPr id="7" name="图片 7" descr="0a681a2138ad7bfc1a2dece1dbb7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681a2138ad7bfc1a2dece1dbb71c6"/>
                    <pic:cNvPicPr>
                      <a:picLocks noChangeAspect="1"/>
                    </pic:cNvPicPr>
                  </pic:nvPicPr>
                  <pic:blipFill>
                    <a:blip r:embed="rId12"/>
                    <a:stretch>
                      <a:fillRect/>
                    </a:stretch>
                  </pic:blipFill>
                  <pic:spPr>
                    <a:xfrm>
                      <a:off x="0" y="0"/>
                      <a:ext cx="5974080" cy="8965565"/>
                    </a:xfrm>
                    <a:prstGeom prst="rect">
                      <a:avLst/>
                    </a:prstGeom>
                  </pic:spPr>
                </pic:pic>
              </a:graphicData>
            </a:graphic>
          </wp:inline>
        </w:drawing>
      </w:r>
    </w:p>
    <w:p w14:paraId="725DBA6C">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74080" cy="8606155"/>
            <wp:effectExtent l="0" t="0" r="7620" b="4445"/>
            <wp:docPr id="8" name="图片 8" descr="78f44be0381fdc8b89c486eae79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f44be0381fdc8b89c486eae796726"/>
                    <pic:cNvPicPr>
                      <a:picLocks noChangeAspect="1"/>
                    </pic:cNvPicPr>
                  </pic:nvPicPr>
                  <pic:blipFill>
                    <a:blip r:embed="rId13"/>
                    <a:stretch>
                      <a:fillRect/>
                    </a:stretch>
                  </pic:blipFill>
                  <pic:spPr>
                    <a:xfrm>
                      <a:off x="0" y="0"/>
                      <a:ext cx="5974080" cy="8606155"/>
                    </a:xfrm>
                    <a:prstGeom prst="rect">
                      <a:avLst/>
                    </a:prstGeom>
                  </pic:spPr>
                </pic:pic>
              </a:graphicData>
            </a:graphic>
          </wp:inline>
        </w:drawing>
      </w:r>
      <w:bookmarkStart w:id="62" w:name="_GoBack"/>
      <w:bookmarkEnd w:id="62"/>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1EB80077"/>
    <w:rsid w:val="233D0691"/>
    <w:rsid w:val="2B511820"/>
    <w:rsid w:val="2CF8435A"/>
    <w:rsid w:val="3612467B"/>
    <w:rsid w:val="36920A93"/>
    <w:rsid w:val="41D911B0"/>
    <w:rsid w:val="439D752C"/>
    <w:rsid w:val="5CFB130E"/>
    <w:rsid w:val="5F445E73"/>
    <w:rsid w:val="7D1C45E4"/>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3018</Words>
  <Characters>3387</Characters>
  <Lines>0</Lines>
  <Paragraphs>0</Paragraphs>
  <TotalTime>1</TotalTime>
  <ScaleCrop>false</ScaleCrop>
  <LinksUpToDate>false</LinksUpToDate>
  <CharactersWithSpaces>6665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2025-08-22T08:24:37Z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