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AFEB0">
      <w:pPr>
        <w:jc w:val="center"/>
        <w:rPr>
          <w:rFonts w:ascii="黑体" w:hAnsi="黑体" w:eastAsia="黑体" w:cs="黑体"/>
          <w:sz w:val="28"/>
          <w:szCs w:val="28"/>
        </w:rPr>
      </w:pPr>
      <w:r>
        <w:rPr>
          <w:rFonts w:hint="eastAsia" w:ascii="黑体" w:hAnsi="黑体" w:eastAsia="黑体" w:cs="黑体"/>
          <w:sz w:val="28"/>
          <w:szCs w:val="28"/>
        </w:rPr>
        <w:t>安全评价项目信息表</w:t>
      </w:r>
    </w:p>
    <w:p w14:paraId="1BF9BB85">
      <w:pPr>
        <w:rPr>
          <w:szCs w:val="21"/>
        </w:rPr>
      </w:pPr>
      <w:r>
        <w:rPr>
          <w:rFonts w:hint="eastAsia"/>
          <w:szCs w:val="21"/>
        </w:rPr>
        <w:t>项目编号：</w:t>
      </w:r>
    </w:p>
    <w:tbl>
      <w:tblPr>
        <w:tblStyle w:val="17"/>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68" w:type="dxa"/>
          <w:left w:w="108" w:type="dxa"/>
          <w:bottom w:w="68" w:type="dxa"/>
          <w:right w:w="108" w:type="dxa"/>
        </w:tblCellMar>
      </w:tblPr>
      <w:tblGrid>
        <w:gridCol w:w="1832"/>
        <w:gridCol w:w="2188"/>
        <w:gridCol w:w="2350"/>
        <w:gridCol w:w="2918"/>
      </w:tblGrid>
      <w:tr w14:paraId="1312B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73D159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项目名称</w:t>
            </w:r>
          </w:p>
        </w:tc>
        <w:tc>
          <w:tcPr>
            <w:tcW w:w="7456" w:type="dxa"/>
            <w:gridSpan w:val="3"/>
            <w:tcBorders>
              <w:tl2br w:val="nil"/>
              <w:tr2bl w:val="nil"/>
            </w:tcBorders>
            <w:shd w:val="clear" w:color="auto" w:fill="auto"/>
            <w:vAlign w:val="center"/>
          </w:tcPr>
          <w:p w14:paraId="1DC8EAC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lang w:eastAsia="zh-CN"/>
              </w:rPr>
              <w:t>泰山玻璃纤维有限公司</w:t>
            </w:r>
            <w:r>
              <w:rPr>
                <w:rFonts w:hint="eastAsia" w:ascii="宋体" w:hAnsi="宋体" w:eastAsia="宋体" w:cs="宋体"/>
                <w:kern w:val="0"/>
                <w:szCs w:val="21"/>
                <w:lang w:val="en-US" w:eastAsia="zh-CN"/>
              </w:rPr>
              <w:t>空分制氧项目安全</w:t>
            </w:r>
            <w:r>
              <w:rPr>
                <w:rFonts w:hint="eastAsia" w:ascii="宋体"/>
                <w:color w:val="000000" w:themeColor="text1"/>
                <w14:textFill>
                  <w14:solidFill>
                    <w14:schemeClr w14:val="tx1"/>
                  </w14:solidFill>
                </w14:textFill>
              </w:rPr>
              <w:t>现状评价</w:t>
            </w:r>
          </w:p>
        </w:tc>
      </w:tr>
      <w:tr w14:paraId="46A32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14CBEC4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项目简介</w:t>
            </w:r>
          </w:p>
        </w:tc>
        <w:tc>
          <w:tcPr>
            <w:tcW w:w="7456" w:type="dxa"/>
            <w:gridSpan w:val="3"/>
            <w:tcBorders>
              <w:tl2br w:val="nil"/>
              <w:tr2bl w:val="nil"/>
            </w:tcBorders>
            <w:shd w:val="clear" w:color="auto" w:fill="auto"/>
            <w:noWrap/>
            <w:vAlign w:val="center"/>
          </w:tcPr>
          <w:p w14:paraId="7A4A7729">
            <w:pPr>
              <w:adjustRightInd w:val="0"/>
              <w:snapToGrid w:val="0"/>
              <w:rPr>
                <w:rFonts w:ascii="宋体" w:hAnsi="宋体" w:eastAsia="宋体" w:cs="宋体"/>
                <w:kern w:val="0"/>
                <w:szCs w:val="21"/>
              </w:rPr>
            </w:pPr>
            <w:r>
              <w:rPr>
                <w:rFonts w:hint="eastAsia" w:ascii="宋体" w:hAnsi="宋体"/>
                <w:sz w:val="20"/>
                <w:lang w:eastAsia="zh-CN"/>
              </w:rPr>
              <w:t>泰山玻璃纤维有限公司为满足生产线的需要，在厂区建有2套空分制氧生产装置，其中制氧站Ⅰ期（10000Nm³/h）主要包括：空气过滤器、空压机、氮压机、控制室、配电室、变压器室、膨胀机室、分馏塔、气化器、吸附器、1台1500m³液氧储罐、1台30m³液氧（目前已停用，不在本次评价范围内）、1台50m³液氧、2台50m³液氩、1台100m³液氮储罐、1台10m³液氮储罐等；制氧站Ⅱ期（15000Nm³/h）主要包括：空气过滤器、空压机、氮压机、控制室、配电室、变压器室、膨胀机室、分馏塔、气化器、吸附器、1台2000m³液氧储罐、1台50m³液氧储罐、2台50m³液氩储罐、1台100m³液氮储罐、1台50m³液氮储罐等。</w:t>
            </w:r>
          </w:p>
        </w:tc>
      </w:tr>
      <w:tr w14:paraId="59A37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DAE240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评价人员</w:t>
            </w:r>
          </w:p>
        </w:tc>
        <w:tc>
          <w:tcPr>
            <w:tcW w:w="4538" w:type="dxa"/>
            <w:gridSpan w:val="2"/>
            <w:tcBorders>
              <w:tl2br w:val="nil"/>
              <w:tr2bl w:val="nil"/>
            </w:tcBorders>
            <w:shd w:val="clear" w:color="auto" w:fill="auto"/>
            <w:noWrap/>
            <w:vAlign w:val="center"/>
          </w:tcPr>
          <w:p w14:paraId="4F0D178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姓  名</w:t>
            </w:r>
          </w:p>
        </w:tc>
        <w:tc>
          <w:tcPr>
            <w:tcW w:w="2918" w:type="dxa"/>
            <w:tcBorders>
              <w:tl2br w:val="nil"/>
              <w:tr2bl w:val="nil"/>
            </w:tcBorders>
            <w:shd w:val="clear" w:color="auto" w:fill="auto"/>
            <w:noWrap/>
            <w:vAlign w:val="center"/>
          </w:tcPr>
          <w:p w14:paraId="1539E6E9">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备注</w:t>
            </w:r>
          </w:p>
        </w:tc>
      </w:tr>
      <w:tr w14:paraId="33CB1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1200BD9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项目负责人</w:t>
            </w:r>
          </w:p>
        </w:tc>
        <w:tc>
          <w:tcPr>
            <w:tcW w:w="4538" w:type="dxa"/>
            <w:gridSpan w:val="2"/>
            <w:tcBorders>
              <w:tl2br w:val="nil"/>
              <w:tr2bl w:val="nil"/>
            </w:tcBorders>
            <w:shd w:val="clear" w:color="auto" w:fill="auto"/>
            <w:noWrap/>
            <w:vAlign w:val="center"/>
          </w:tcPr>
          <w:p w14:paraId="2843A4B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马琳琳</w:t>
            </w:r>
          </w:p>
        </w:tc>
        <w:tc>
          <w:tcPr>
            <w:tcW w:w="2918" w:type="dxa"/>
            <w:tcBorders>
              <w:tl2br w:val="nil"/>
              <w:tr2bl w:val="nil"/>
            </w:tcBorders>
            <w:shd w:val="clear" w:color="auto" w:fill="auto"/>
            <w:noWrap/>
            <w:vAlign w:val="center"/>
          </w:tcPr>
          <w:p w14:paraId="6CDAED60">
            <w:pPr>
              <w:autoSpaceDE w:val="0"/>
              <w:autoSpaceDN w:val="0"/>
              <w:adjustRightInd w:val="0"/>
              <w:snapToGrid w:val="0"/>
              <w:jc w:val="center"/>
              <w:rPr>
                <w:rFonts w:ascii="宋体" w:hAnsi="宋体" w:eastAsia="宋体" w:cs="宋体"/>
                <w:kern w:val="0"/>
                <w:szCs w:val="21"/>
              </w:rPr>
            </w:pPr>
          </w:p>
        </w:tc>
      </w:tr>
      <w:tr w14:paraId="77471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59C515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项目组成员</w:t>
            </w:r>
          </w:p>
        </w:tc>
        <w:tc>
          <w:tcPr>
            <w:tcW w:w="4538" w:type="dxa"/>
            <w:gridSpan w:val="2"/>
            <w:tcBorders>
              <w:tl2br w:val="nil"/>
              <w:tr2bl w:val="nil"/>
            </w:tcBorders>
            <w:shd w:val="clear" w:color="auto" w:fill="auto"/>
            <w:noWrap/>
            <w:vAlign w:val="center"/>
          </w:tcPr>
          <w:p w14:paraId="57CADCD5">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刘卫国</w:t>
            </w:r>
          </w:p>
        </w:tc>
        <w:tc>
          <w:tcPr>
            <w:tcW w:w="2918" w:type="dxa"/>
            <w:tcBorders>
              <w:tl2br w:val="nil"/>
              <w:tr2bl w:val="nil"/>
            </w:tcBorders>
            <w:shd w:val="clear" w:color="auto" w:fill="auto"/>
            <w:noWrap/>
            <w:vAlign w:val="center"/>
          </w:tcPr>
          <w:p w14:paraId="225FF703">
            <w:pPr>
              <w:autoSpaceDE w:val="0"/>
              <w:autoSpaceDN w:val="0"/>
              <w:adjustRightInd w:val="0"/>
              <w:snapToGrid w:val="0"/>
              <w:jc w:val="center"/>
              <w:rPr>
                <w:rFonts w:ascii="宋体" w:hAnsi="宋体" w:eastAsia="宋体" w:cs="宋体"/>
                <w:kern w:val="0"/>
                <w:szCs w:val="21"/>
              </w:rPr>
            </w:pPr>
          </w:p>
        </w:tc>
      </w:tr>
      <w:tr w14:paraId="79957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74AB147">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16C2D21B">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33B2C486">
            <w:pPr>
              <w:autoSpaceDE w:val="0"/>
              <w:autoSpaceDN w:val="0"/>
              <w:adjustRightInd w:val="0"/>
              <w:snapToGrid w:val="0"/>
              <w:jc w:val="center"/>
              <w:rPr>
                <w:rFonts w:ascii="宋体" w:hAnsi="宋体" w:eastAsia="宋体" w:cs="宋体"/>
                <w:kern w:val="0"/>
                <w:szCs w:val="21"/>
              </w:rPr>
            </w:pPr>
          </w:p>
        </w:tc>
      </w:tr>
      <w:tr w14:paraId="50E71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2F2512B">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22A1C13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赵云峰</w:t>
            </w:r>
          </w:p>
        </w:tc>
        <w:tc>
          <w:tcPr>
            <w:tcW w:w="2918" w:type="dxa"/>
            <w:tcBorders>
              <w:tl2br w:val="nil"/>
              <w:tr2bl w:val="nil"/>
            </w:tcBorders>
            <w:shd w:val="clear" w:color="auto" w:fill="auto"/>
            <w:noWrap/>
            <w:vAlign w:val="center"/>
          </w:tcPr>
          <w:p w14:paraId="1576A3CE">
            <w:pPr>
              <w:autoSpaceDE w:val="0"/>
              <w:autoSpaceDN w:val="0"/>
              <w:adjustRightInd w:val="0"/>
              <w:snapToGrid w:val="0"/>
              <w:jc w:val="center"/>
              <w:rPr>
                <w:rFonts w:ascii="宋体" w:hAnsi="宋体" w:eastAsia="宋体" w:cs="宋体"/>
                <w:kern w:val="0"/>
                <w:szCs w:val="21"/>
              </w:rPr>
            </w:pPr>
          </w:p>
        </w:tc>
      </w:tr>
      <w:tr w14:paraId="58655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0C4119D">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69BC9D2C">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王  静</w:t>
            </w:r>
          </w:p>
        </w:tc>
        <w:tc>
          <w:tcPr>
            <w:tcW w:w="2918" w:type="dxa"/>
            <w:tcBorders>
              <w:tl2br w:val="nil"/>
              <w:tr2bl w:val="nil"/>
            </w:tcBorders>
            <w:shd w:val="clear" w:color="auto" w:fill="auto"/>
            <w:noWrap/>
            <w:vAlign w:val="center"/>
          </w:tcPr>
          <w:p w14:paraId="04A45AFE">
            <w:pPr>
              <w:autoSpaceDE w:val="0"/>
              <w:autoSpaceDN w:val="0"/>
              <w:adjustRightInd w:val="0"/>
              <w:snapToGrid w:val="0"/>
              <w:jc w:val="center"/>
              <w:rPr>
                <w:rFonts w:ascii="宋体" w:hAnsi="宋体" w:eastAsia="宋体" w:cs="宋体"/>
                <w:kern w:val="0"/>
                <w:szCs w:val="21"/>
              </w:rPr>
            </w:pPr>
          </w:p>
        </w:tc>
      </w:tr>
      <w:tr w14:paraId="31456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2ECA9F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报告编制人</w:t>
            </w:r>
          </w:p>
        </w:tc>
        <w:tc>
          <w:tcPr>
            <w:tcW w:w="4538" w:type="dxa"/>
            <w:gridSpan w:val="2"/>
            <w:tcBorders>
              <w:tl2br w:val="nil"/>
              <w:tr2bl w:val="nil"/>
            </w:tcBorders>
            <w:shd w:val="clear" w:color="auto" w:fill="auto"/>
            <w:noWrap/>
            <w:vAlign w:val="center"/>
          </w:tcPr>
          <w:p w14:paraId="28A9FEF0">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马琳琳</w:t>
            </w:r>
          </w:p>
        </w:tc>
        <w:tc>
          <w:tcPr>
            <w:tcW w:w="2918" w:type="dxa"/>
            <w:tcBorders>
              <w:tl2br w:val="nil"/>
              <w:tr2bl w:val="nil"/>
            </w:tcBorders>
            <w:shd w:val="clear" w:color="auto" w:fill="auto"/>
            <w:noWrap/>
            <w:vAlign w:val="center"/>
          </w:tcPr>
          <w:p w14:paraId="14CCC523">
            <w:pPr>
              <w:autoSpaceDE w:val="0"/>
              <w:autoSpaceDN w:val="0"/>
              <w:adjustRightInd w:val="0"/>
              <w:snapToGrid w:val="0"/>
              <w:jc w:val="center"/>
              <w:rPr>
                <w:rFonts w:ascii="宋体" w:hAnsi="宋体" w:eastAsia="宋体" w:cs="宋体"/>
                <w:kern w:val="0"/>
                <w:szCs w:val="21"/>
              </w:rPr>
            </w:pPr>
          </w:p>
        </w:tc>
      </w:tr>
      <w:tr w14:paraId="691B81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57FF3D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报告审核人</w:t>
            </w:r>
          </w:p>
        </w:tc>
        <w:tc>
          <w:tcPr>
            <w:tcW w:w="4538" w:type="dxa"/>
            <w:gridSpan w:val="2"/>
            <w:tcBorders>
              <w:tl2br w:val="nil"/>
              <w:tr2bl w:val="nil"/>
            </w:tcBorders>
            <w:shd w:val="clear" w:color="auto" w:fill="auto"/>
            <w:noWrap/>
            <w:vAlign w:val="center"/>
          </w:tcPr>
          <w:p w14:paraId="455EAF5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赵  燕</w:t>
            </w:r>
          </w:p>
        </w:tc>
        <w:tc>
          <w:tcPr>
            <w:tcW w:w="2918" w:type="dxa"/>
            <w:tcBorders>
              <w:tl2br w:val="nil"/>
              <w:tr2bl w:val="nil"/>
            </w:tcBorders>
            <w:shd w:val="clear" w:color="auto" w:fill="auto"/>
            <w:noWrap/>
            <w:vAlign w:val="center"/>
          </w:tcPr>
          <w:p w14:paraId="34802539">
            <w:pPr>
              <w:autoSpaceDE w:val="0"/>
              <w:autoSpaceDN w:val="0"/>
              <w:adjustRightInd w:val="0"/>
              <w:snapToGrid w:val="0"/>
              <w:jc w:val="center"/>
              <w:rPr>
                <w:rFonts w:ascii="宋体" w:hAnsi="宋体" w:eastAsia="宋体" w:cs="宋体"/>
                <w:kern w:val="0"/>
                <w:szCs w:val="21"/>
              </w:rPr>
            </w:pPr>
          </w:p>
        </w:tc>
      </w:tr>
      <w:tr w14:paraId="62F15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9CE57E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过程控制负责人</w:t>
            </w:r>
          </w:p>
        </w:tc>
        <w:tc>
          <w:tcPr>
            <w:tcW w:w="4538" w:type="dxa"/>
            <w:gridSpan w:val="2"/>
            <w:tcBorders>
              <w:tl2br w:val="nil"/>
              <w:tr2bl w:val="nil"/>
            </w:tcBorders>
            <w:shd w:val="clear" w:color="auto" w:fill="auto"/>
            <w:noWrap/>
            <w:vAlign w:val="center"/>
          </w:tcPr>
          <w:p w14:paraId="25F3BFC6">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刘云红</w:t>
            </w:r>
          </w:p>
        </w:tc>
        <w:tc>
          <w:tcPr>
            <w:tcW w:w="2918" w:type="dxa"/>
            <w:tcBorders>
              <w:tl2br w:val="nil"/>
              <w:tr2bl w:val="nil"/>
            </w:tcBorders>
            <w:shd w:val="clear" w:color="auto" w:fill="auto"/>
            <w:noWrap/>
            <w:vAlign w:val="center"/>
          </w:tcPr>
          <w:p w14:paraId="572DEFA1">
            <w:pPr>
              <w:autoSpaceDE w:val="0"/>
              <w:autoSpaceDN w:val="0"/>
              <w:adjustRightInd w:val="0"/>
              <w:snapToGrid w:val="0"/>
              <w:jc w:val="center"/>
              <w:rPr>
                <w:rFonts w:ascii="宋体" w:hAnsi="宋体" w:eastAsia="宋体" w:cs="宋体"/>
                <w:kern w:val="0"/>
                <w:szCs w:val="21"/>
              </w:rPr>
            </w:pPr>
          </w:p>
        </w:tc>
      </w:tr>
      <w:tr w14:paraId="76894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9F984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技术负责人</w:t>
            </w:r>
          </w:p>
        </w:tc>
        <w:tc>
          <w:tcPr>
            <w:tcW w:w="4538" w:type="dxa"/>
            <w:gridSpan w:val="2"/>
            <w:tcBorders>
              <w:tl2br w:val="nil"/>
              <w:tr2bl w:val="nil"/>
            </w:tcBorders>
            <w:shd w:val="clear" w:color="auto" w:fill="auto"/>
            <w:noWrap/>
            <w:vAlign w:val="center"/>
          </w:tcPr>
          <w:p w14:paraId="57A8142B">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孙  虎</w:t>
            </w:r>
          </w:p>
        </w:tc>
        <w:tc>
          <w:tcPr>
            <w:tcW w:w="2918" w:type="dxa"/>
            <w:tcBorders>
              <w:tl2br w:val="nil"/>
              <w:tr2bl w:val="nil"/>
            </w:tcBorders>
            <w:shd w:val="clear" w:color="auto" w:fill="auto"/>
            <w:noWrap/>
            <w:vAlign w:val="center"/>
          </w:tcPr>
          <w:p w14:paraId="054AC15D">
            <w:pPr>
              <w:autoSpaceDE w:val="0"/>
              <w:autoSpaceDN w:val="0"/>
              <w:adjustRightInd w:val="0"/>
              <w:snapToGrid w:val="0"/>
              <w:jc w:val="center"/>
              <w:rPr>
                <w:rFonts w:ascii="宋体" w:hAnsi="宋体" w:eastAsia="宋体" w:cs="宋体"/>
                <w:kern w:val="0"/>
                <w:szCs w:val="21"/>
              </w:rPr>
            </w:pPr>
          </w:p>
        </w:tc>
      </w:tr>
      <w:tr w14:paraId="37CD3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1FD97E9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到现场开展安全</w:t>
            </w:r>
          </w:p>
          <w:p w14:paraId="4B86562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评价工作情况</w:t>
            </w:r>
          </w:p>
        </w:tc>
        <w:tc>
          <w:tcPr>
            <w:tcW w:w="2188" w:type="dxa"/>
            <w:tcBorders>
              <w:tl2br w:val="nil"/>
              <w:tr2bl w:val="nil"/>
            </w:tcBorders>
            <w:shd w:val="clear" w:color="auto" w:fill="auto"/>
            <w:noWrap/>
            <w:vAlign w:val="center"/>
          </w:tcPr>
          <w:p w14:paraId="301EBB4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时  间</w:t>
            </w:r>
          </w:p>
        </w:tc>
        <w:tc>
          <w:tcPr>
            <w:tcW w:w="2350" w:type="dxa"/>
            <w:tcBorders>
              <w:tl2br w:val="nil"/>
              <w:tr2bl w:val="nil"/>
            </w:tcBorders>
            <w:shd w:val="clear" w:color="auto" w:fill="auto"/>
            <w:noWrap/>
            <w:vAlign w:val="center"/>
          </w:tcPr>
          <w:p w14:paraId="373F968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到现场主要人员</w:t>
            </w:r>
          </w:p>
        </w:tc>
        <w:tc>
          <w:tcPr>
            <w:tcW w:w="2918" w:type="dxa"/>
            <w:tcBorders>
              <w:tl2br w:val="nil"/>
              <w:tr2bl w:val="nil"/>
            </w:tcBorders>
            <w:shd w:val="clear" w:color="auto" w:fill="auto"/>
            <w:noWrap/>
            <w:vAlign w:val="center"/>
          </w:tcPr>
          <w:p w14:paraId="61AB688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主要任务</w:t>
            </w:r>
          </w:p>
        </w:tc>
      </w:tr>
      <w:tr w14:paraId="72850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C51762D">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14EA56A8">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2025.03.03</w:t>
            </w:r>
          </w:p>
        </w:tc>
        <w:tc>
          <w:tcPr>
            <w:tcW w:w="2350" w:type="dxa"/>
            <w:tcBorders>
              <w:tl2br w:val="nil"/>
              <w:tr2bl w:val="nil"/>
            </w:tcBorders>
            <w:shd w:val="clear" w:color="auto" w:fill="auto"/>
            <w:noWrap/>
            <w:vAlign w:val="center"/>
          </w:tcPr>
          <w:p w14:paraId="492F1E6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9D1097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初访</w:t>
            </w:r>
          </w:p>
        </w:tc>
      </w:tr>
      <w:tr w14:paraId="02AE7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6322453">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A74FB21">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2025.03.17</w:t>
            </w:r>
          </w:p>
        </w:tc>
        <w:tc>
          <w:tcPr>
            <w:tcW w:w="2350" w:type="dxa"/>
            <w:tcBorders>
              <w:tl2br w:val="nil"/>
              <w:tr2bl w:val="nil"/>
            </w:tcBorders>
            <w:shd w:val="clear" w:color="auto" w:fill="auto"/>
            <w:noWrap/>
            <w:vAlign w:val="center"/>
          </w:tcPr>
          <w:p w14:paraId="2D8A8D85">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36016F4C">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现场考察</w:t>
            </w:r>
          </w:p>
        </w:tc>
      </w:tr>
      <w:tr w14:paraId="45AB8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A06F0A0">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5171B402">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2025.03.18</w:t>
            </w:r>
          </w:p>
        </w:tc>
        <w:tc>
          <w:tcPr>
            <w:tcW w:w="2350" w:type="dxa"/>
            <w:tcBorders>
              <w:tl2br w:val="nil"/>
              <w:tr2bl w:val="nil"/>
            </w:tcBorders>
            <w:shd w:val="clear" w:color="auto" w:fill="auto"/>
            <w:noWrap/>
            <w:vAlign w:val="center"/>
          </w:tcPr>
          <w:p w14:paraId="22D6764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3D719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现场检查</w:t>
            </w:r>
          </w:p>
        </w:tc>
      </w:tr>
      <w:tr w14:paraId="1369BA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B610977">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A0F6726">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2025.04.01</w:t>
            </w:r>
          </w:p>
        </w:tc>
        <w:tc>
          <w:tcPr>
            <w:tcW w:w="2350" w:type="dxa"/>
            <w:tcBorders>
              <w:tl2br w:val="nil"/>
              <w:tr2bl w:val="nil"/>
            </w:tcBorders>
            <w:shd w:val="clear" w:color="auto" w:fill="auto"/>
            <w:noWrap/>
            <w:vAlign w:val="center"/>
          </w:tcPr>
          <w:p w14:paraId="74214941">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43632CA">
            <w:pPr>
              <w:autoSpaceDE w:val="0"/>
              <w:autoSpaceDN w:val="0"/>
              <w:adjustRightInd w:val="0"/>
              <w:snapToGrid w:val="0"/>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现场核查</w:t>
            </w:r>
          </w:p>
        </w:tc>
      </w:tr>
      <w:tr w14:paraId="3EA09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ED6B06D">
            <w:pPr>
              <w:autoSpaceDE w:val="0"/>
              <w:autoSpaceDN w:val="0"/>
              <w:adjustRightInd w:val="0"/>
              <w:snapToGrid w:val="0"/>
              <w:jc w:val="left"/>
              <w:rPr>
                <w:rFonts w:hint="default" w:ascii="宋体" w:hAnsi="宋体" w:eastAsia="宋体" w:cs="宋体"/>
                <w:kern w:val="0"/>
                <w:szCs w:val="21"/>
                <w:lang w:val="en-US" w:eastAsia="zh-CN"/>
              </w:rPr>
            </w:pPr>
            <w:r>
              <w:rPr>
                <w:rFonts w:hint="eastAsia" w:ascii="宋体" w:hAnsi="宋体" w:eastAsia="宋体" w:cs="宋体"/>
                <w:kern w:val="0"/>
                <w:szCs w:val="21"/>
              </w:rPr>
              <w:t>安全评价报告提交时间：2025.</w:t>
            </w:r>
            <w:r>
              <w:rPr>
                <w:rFonts w:hint="eastAsia" w:ascii="宋体" w:hAnsi="宋体" w:eastAsia="宋体" w:cs="宋体"/>
                <w:kern w:val="0"/>
                <w:szCs w:val="21"/>
                <w:lang w:val="en-US" w:eastAsia="zh-CN"/>
              </w:rPr>
              <w:t>05.21</w:t>
            </w:r>
          </w:p>
        </w:tc>
      </w:tr>
      <w:tr w14:paraId="42CB6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7A9AD64">
            <w:pPr>
              <w:autoSpaceDE w:val="0"/>
              <w:autoSpaceDN w:val="0"/>
              <w:adjustRightInd w:val="0"/>
              <w:snapToGrid w:val="0"/>
              <w:jc w:val="left"/>
              <w:rPr>
                <w:rFonts w:ascii="宋体" w:hAnsi="宋体" w:eastAsia="宋体" w:cs="宋体"/>
                <w:kern w:val="0"/>
                <w:szCs w:val="21"/>
              </w:rPr>
            </w:pPr>
            <w:r>
              <w:rPr>
                <w:rFonts w:hint="eastAsia" w:ascii="宋体" w:hAnsi="宋体" w:eastAsia="宋体" w:cs="宋体"/>
                <w:kern w:val="0"/>
                <w:szCs w:val="21"/>
              </w:rPr>
              <w:t>有必要公开的其它内容：</w:t>
            </w:r>
          </w:p>
        </w:tc>
      </w:tr>
    </w:tbl>
    <w:p w14:paraId="4BE1805E">
      <w:pPr>
        <w:rPr>
          <w:rFonts w:ascii="宋体" w:hAnsi="宋体" w:eastAsia="宋体" w:cs="宋体"/>
          <w:kern w:val="0"/>
          <w:sz w:val="24"/>
        </w:rPr>
      </w:pPr>
      <w:r>
        <w:rPr>
          <w:rFonts w:hint="eastAsia" w:ascii="宋体" w:hAnsi="宋体" w:eastAsia="宋体" w:cs="宋体"/>
          <w:kern w:val="0"/>
          <w:sz w:val="24"/>
        </w:rPr>
        <w:br w:type="page"/>
      </w:r>
    </w:p>
    <w:p w14:paraId="6D3AF263">
      <w:pPr>
        <w:pStyle w:val="10"/>
        <w:spacing w:line="240" w:lineRule="auto"/>
        <w:ind w:firstLine="480"/>
        <w:rPr>
          <w:rFonts w:hint="eastAsia" w:eastAsia="宋体" w:cs="宋体"/>
          <w:color w:val="auto"/>
          <w:lang w:eastAsia="zh-CN"/>
        </w:rPr>
      </w:pPr>
      <w:r>
        <w:rPr>
          <w:rFonts w:hint="eastAsia" w:eastAsia="宋体" w:cs="宋体"/>
          <w:color w:val="auto"/>
          <w:lang w:eastAsia="zh-CN"/>
        </w:rPr>
        <w:drawing>
          <wp:inline distT="0" distB="0" distL="114300" distR="114300">
            <wp:extent cx="5748655" cy="8373110"/>
            <wp:effectExtent l="0" t="0" r="4445" b="889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4"/>
                    <a:stretch>
                      <a:fillRect/>
                    </a:stretch>
                  </pic:blipFill>
                  <pic:spPr>
                    <a:xfrm>
                      <a:off x="0" y="0"/>
                      <a:ext cx="5748655" cy="8373110"/>
                    </a:xfrm>
                    <a:prstGeom prst="rect">
                      <a:avLst/>
                    </a:prstGeom>
                  </pic:spPr>
                </pic:pic>
              </a:graphicData>
            </a:graphic>
          </wp:inline>
        </w:drawing>
      </w:r>
      <w:r>
        <w:rPr>
          <w:rFonts w:hint="eastAsia" w:eastAsia="宋体" w:cs="宋体"/>
          <w:color w:val="auto"/>
          <w:lang w:eastAsia="zh-CN"/>
        </w:rPr>
        <w:drawing>
          <wp:inline distT="0" distB="0" distL="114300" distR="114300">
            <wp:extent cx="5757545" cy="8204200"/>
            <wp:effectExtent l="0" t="0" r="14605" b="635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757545" cy="8204200"/>
                    </a:xfrm>
                    <a:prstGeom prst="rect">
                      <a:avLst/>
                    </a:prstGeom>
                  </pic:spPr>
                </pic:pic>
              </a:graphicData>
            </a:graphic>
          </wp:inline>
        </w:drawing>
      </w:r>
      <w:r>
        <w:rPr>
          <w:rFonts w:hint="eastAsia" w:eastAsia="宋体" w:cs="宋体"/>
          <w:color w:val="auto"/>
          <w:lang w:eastAsia="zh-CN"/>
        </w:rPr>
        <w:drawing>
          <wp:inline distT="0" distB="0" distL="114300" distR="114300">
            <wp:extent cx="5760720" cy="8454390"/>
            <wp:effectExtent l="0" t="0" r="11430" b="3810"/>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6"/>
                    <a:stretch>
                      <a:fillRect/>
                    </a:stretch>
                  </pic:blipFill>
                  <pic:spPr>
                    <a:xfrm>
                      <a:off x="0" y="0"/>
                      <a:ext cx="5760720" cy="8454390"/>
                    </a:xfrm>
                    <a:prstGeom prst="rect">
                      <a:avLst/>
                    </a:prstGeom>
                  </pic:spPr>
                </pic:pic>
              </a:graphicData>
            </a:graphic>
          </wp:inline>
        </w:drawing>
      </w:r>
    </w:p>
    <w:p w14:paraId="13EE9904">
      <w:pPr>
        <w:rPr>
          <w:rFonts w:ascii="宋体" w:hAnsi="宋体" w:eastAsia="宋体" w:cs="宋体"/>
          <w:kern w:val="0"/>
          <w:sz w:val="24"/>
        </w:rPr>
      </w:pPr>
    </w:p>
    <w:p w14:paraId="73460CAB">
      <w:pPr>
        <w:adjustRightInd w:val="0"/>
        <w:snapToGrid w:val="0"/>
        <w:jc w:val="center"/>
        <w:rPr>
          <w:rFonts w:ascii="宋体" w:hAnsi="宋体" w:eastAsia="宋体" w:cs="宋体"/>
          <w:kern w:val="0"/>
          <w:sz w:val="24"/>
        </w:rPr>
      </w:pPr>
      <w:r>
        <w:rPr>
          <w:rFonts w:hint="eastAsia" w:ascii="宋体" w:hAnsi="宋体" w:eastAsia="宋体" w:cs="宋体"/>
          <w:kern w:val="0"/>
          <w:sz w:val="24"/>
          <w:lang w:eastAsia="zh-CN"/>
        </w:rPr>
        <w:t>泰山玻璃纤维有限公司空分制氧项目安全现状评价</w:t>
      </w:r>
      <w:r>
        <w:rPr>
          <w:rFonts w:hint="eastAsia" w:ascii="宋体" w:hAnsi="宋体" w:eastAsia="宋体" w:cs="宋体"/>
          <w:kern w:val="0"/>
          <w:sz w:val="24"/>
        </w:rPr>
        <w:t>现场照片</w:t>
      </w:r>
    </w:p>
    <w:p w14:paraId="378CA0D8">
      <w:pPr>
        <w:pStyle w:val="10"/>
        <w:widowControl w:val="0"/>
        <w:adjustRightInd w:val="0"/>
        <w:snapToGrid w:val="0"/>
        <w:spacing w:line="240" w:lineRule="auto"/>
        <w:ind w:firstLine="0" w:firstLineChars="0"/>
        <w:rPr>
          <w:rFonts w:hint="eastAsia" w:eastAsiaTheme="minorEastAsia"/>
          <w:lang w:eastAsia="zh-CN"/>
        </w:rPr>
        <w:sectPr>
          <w:pgSz w:w="11906" w:h="16838"/>
          <w:pgMar w:top="1417" w:right="1417" w:bottom="1417" w:left="1417" w:header="851" w:footer="992" w:gutter="0"/>
          <w:cols w:space="425" w:num="1"/>
          <w:docGrid w:type="lines" w:linePitch="312" w:charSpace="0"/>
        </w:sectPr>
      </w:pPr>
      <w:r>
        <w:rPr>
          <w:rFonts w:hint="eastAsia" w:eastAsiaTheme="minorEastAsia"/>
          <w:lang w:eastAsia="zh-CN"/>
        </w:rPr>
        <w:drawing>
          <wp:inline distT="0" distB="0" distL="114300" distR="114300">
            <wp:extent cx="5712460" cy="4284345"/>
            <wp:effectExtent l="0" t="0" r="2540" b="1905"/>
            <wp:docPr id="5" name="图片 5" descr="微信图片_2025031908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319082710"/>
                    <pic:cNvPicPr>
                      <a:picLocks noChangeAspect="1"/>
                    </pic:cNvPicPr>
                  </pic:nvPicPr>
                  <pic:blipFill>
                    <a:blip r:embed="rId7"/>
                    <a:stretch>
                      <a:fillRect/>
                    </a:stretch>
                  </pic:blipFill>
                  <pic:spPr>
                    <a:xfrm>
                      <a:off x="0" y="0"/>
                      <a:ext cx="5712460" cy="4284345"/>
                    </a:xfrm>
                    <a:prstGeom prst="rect">
                      <a:avLst/>
                    </a:prstGeom>
                  </pic:spPr>
                </pic:pic>
              </a:graphicData>
            </a:graphic>
          </wp:inline>
        </w:drawing>
      </w:r>
      <w:r>
        <w:rPr>
          <w:rFonts w:hint="eastAsia" w:eastAsiaTheme="minorEastAsia"/>
          <w:lang w:eastAsia="zh-CN"/>
        </w:rPr>
        <w:drawing>
          <wp:inline distT="0" distB="0" distL="114300" distR="114300">
            <wp:extent cx="5712460" cy="4284345"/>
            <wp:effectExtent l="0" t="0" r="2540" b="1905"/>
            <wp:docPr id="4" name="图片 4" descr="微信图片_2025031908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319082735"/>
                    <pic:cNvPicPr>
                      <a:picLocks noChangeAspect="1"/>
                    </pic:cNvPicPr>
                  </pic:nvPicPr>
                  <pic:blipFill>
                    <a:blip r:embed="rId8"/>
                    <a:stretch>
                      <a:fillRect/>
                    </a:stretch>
                  </pic:blipFill>
                  <pic:spPr>
                    <a:xfrm>
                      <a:off x="0" y="0"/>
                      <a:ext cx="5712460" cy="4284345"/>
                    </a:xfrm>
                    <a:prstGeom prst="rect">
                      <a:avLst/>
                    </a:prstGeom>
                  </pic:spPr>
                </pic:pic>
              </a:graphicData>
            </a:graphic>
          </wp:inline>
        </w:drawing>
      </w:r>
    </w:p>
    <w:p w14:paraId="50695E23">
      <w:pPr>
        <w:pStyle w:val="4"/>
        <w:keepNext w:val="0"/>
        <w:adjustRightInd w:val="0"/>
        <w:snapToGrid w:val="0"/>
        <w:spacing w:line="360" w:lineRule="auto"/>
        <w:rPr>
          <w:rFonts w:ascii="黑体" w:eastAsia="黑体"/>
          <w:snapToGrid w:val="0"/>
          <w:color w:val="000000" w:themeColor="text1"/>
          <w:spacing w:val="0"/>
          <w:kern w:val="0"/>
          <w:sz w:val="32"/>
          <w:szCs w:val="32"/>
          <w14:textFill>
            <w14:solidFill>
              <w14:schemeClr w14:val="tx1"/>
            </w14:solidFill>
          </w14:textFill>
        </w:rPr>
      </w:pPr>
      <w:bookmarkStart w:id="0" w:name="_Toc321746508"/>
      <w:bookmarkStart w:id="1" w:name="_Toc321760563"/>
      <w:bookmarkStart w:id="2" w:name="_Toc12979"/>
      <w:bookmarkStart w:id="3" w:name="_Toc321746698"/>
      <w:bookmarkStart w:id="4" w:name="_Toc321762060"/>
      <w:bookmarkStart w:id="5" w:name="_Toc321761320"/>
      <w:bookmarkStart w:id="6" w:name="_Toc321761903"/>
      <w:r>
        <w:rPr>
          <w:rFonts w:hint="eastAsia" w:ascii="黑体" w:eastAsia="黑体"/>
          <w:snapToGrid w:val="0"/>
          <w:color w:val="000000" w:themeColor="text1"/>
          <w:spacing w:val="0"/>
          <w:kern w:val="0"/>
          <w:sz w:val="32"/>
          <w:szCs w:val="32"/>
          <w14:textFill>
            <w14:solidFill>
              <w14:schemeClr w14:val="tx1"/>
            </w14:solidFill>
          </w14:textFill>
        </w:rPr>
        <w:t>第二章 单位及项目</w:t>
      </w:r>
      <w:r>
        <w:rPr>
          <w:rFonts w:ascii="黑体" w:eastAsia="黑体"/>
          <w:snapToGrid w:val="0"/>
          <w:color w:val="000000" w:themeColor="text1"/>
          <w:spacing w:val="0"/>
          <w:kern w:val="0"/>
          <w:sz w:val="32"/>
          <w:szCs w:val="32"/>
          <w14:textFill>
            <w14:solidFill>
              <w14:schemeClr w14:val="tx1"/>
            </w14:solidFill>
          </w14:textFill>
        </w:rPr>
        <w:t>概况</w:t>
      </w:r>
      <w:bookmarkEnd w:id="0"/>
      <w:bookmarkEnd w:id="1"/>
      <w:bookmarkEnd w:id="2"/>
      <w:bookmarkEnd w:id="3"/>
      <w:bookmarkEnd w:id="4"/>
      <w:bookmarkEnd w:id="5"/>
      <w:bookmarkEnd w:id="6"/>
    </w:p>
    <w:p w14:paraId="7F298BC9">
      <w:pPr>
        <w:pStyle w:val="6"/>
        <w:keepNext w:val="0"/>
        <w:adjustRightInd w:val="0"/>
        <w:snapToGrid w:val="0"/>
        <w:spacing w:line="360" w:lineRule="auto"/>
        <w:ind w:right="0"/>
        <w:rPr>
          <w:rFonts w:ascii="楷体_GB2312" w:eastAsia="楷体_GB2312"/>
          <w:b/>
          <w:bCs/>
          <w:snapToGrid w:val="0"/>
          <w:color w:val="000000" w:themeColor="text1"/>
          <w:sz w:val="24"/>
          <w:szCs w:val="24"/>
          <w14:textFill>
            <w14:solidFill>
              <w14:schemeClr w14:val="tx1"/>
            </w14:solidFill>
          </w14:textFill>
        </w:rPr>
      </w:pPr>
      <w:bookmarkStart w:id="7" w:name="_Toc32379"/>
      <w:bookmarkStart w:id="8" w:name="_Toc321761904"/>
      <w:r>
        <w:rPr>
          <w:rStyle w:val="30"/>
          <w:rFonts w:hint="eastAsia" w:ascii="楷体_GB2312" w:eastAsia="楷体_GB2312"/>
          <w:snapToGrid w:val="0"/>
          <w:color w:val="000000" w:themeColor="text1"/>
          <w:kern w:val="0"/>
          <w:szCs w:val="32"/>
          <w14:textFill>
            <w14:solidFill>
              <w14:schemeClr w14:val="tx1"/>
            </w14:solidFill>
          </w14:textFill>
        </w:rPr>
        <w:t>第一节 单位简介</w:t>
      </w:r>
      <w:bookmarkEnd w:id="7"/>
      <w:bookmarkEnd w:id="8"/>
    </w:p>
    <w:p w14:paraId="458316E7">
      <w:pPr>
        <w:widowControl w:val="0"/>
        <w:adjustRightInd w:val="0"/>
        <w:snapToGrid w:val="0"/>
        <w:spacing w:line="360" w:lineRule="auto"/>
        <w:ind w:firstLine="560" w:firstLineChars="200"/>
        <w:rPr>
          <w:rFonts w:hint="eastAsia" w:ascii="宋体" w:hAnsi="宋体"/>
          <w:snapToGrid w:val="0"/>
          <w:color w:val="000000" w:themeColor="text1"/>
          <w:sz w:val="28"/>
          <w:szCs w:val="28"/>
          <w14:textFill>
            <w14:solidFill>
              <w14:schemeClr w14:val="tx1"/>
            </w14:solidFill>
          </w14:textFill>
        </w:rPr>
      </w:pPr>
      <w:r>
        <w:rPr>
          <w:rFonts w:hint="eastAsia" w:ascii="宋体" w:hAnsi="宋体"/>
          <w:snapToGrid w:val="0"/>
          <w:color w:val="000000" w:themeColor="text1"/>
          <w:sz w:val="28"/>
          <w:szCs w:val="28"/>
          <w14:textFill>
            <w14:solidFill>
              <w14:schemeClr w14:val="tx1"/>
            </w14:solidFill>
          </w14:textFill>
        </w:rPr>
        <w:t>泰山玻璃纤维有限公司成立于1999年09月17日，公司坐落在山东省，详细地址为泰安市大汶口工业园；泰山玻璃纤维有限公司的统一社会信用代码为913700008630356413H，法定代表人是呼跃武，注册资本为肆拾伍亿捌仟壹佰柒拾贰万肆仟伍佰叁拾柒元整，企业的经营范围（许可项目）为：危险化学品经营；道路货物运输(不含危险货物)。(依法须经批准的项目，经相关部门批准后方可开展经营活动，具体经营项目以相关部门批准文件或许可证件为准)。</w:t>
      </w:r>
    </w:p>
    <w:p w14:paraId="584CF3E9">
      <w:pPr>
        <w:widowControl w:val="0"/>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snapToGrid w:val="0"/>
          <w:color w:val="000000" w:themeColor="text1"/>
          <w:sz w:val="28"/>
          <w:szCs w:val="28"/>
          <w14:textFill>
            <w14:solidFill>
              <w14:schemeClr w14:val="tx1"/>
            </w14:solidFill>
          </w14:textFill>
        </w:rPr>
        <w:t>公司现有职工7800余人，成立了董事长、法定代表人为主任，公司董事、总经理为副主任以及各部门负责人为成员的安全生产委员会，安全生产委员会下设安环部（安全科和环保科），配备了专职安全生产管理人员33人（其中负责危险化学品项目</w:t>
      </w:r>
      <w:r>
        <w:rPr>
          <w:rFonts w:hint="eastAsia" w:ascii="宋体" w:hAnsi="宋体"/>
          <w:snapToGrid w:val="0"/>
          <w:color w:val="000000" w:themeColor="text1"/>
          <w:sz w:val="28"/>
          <w:szCs w:val="28"/>
          <w:lang w:val="en-US" w:eastAsia="zh-CN"/>
          <w14:textFill>
            <w14:solidFill>
              <w14:schemeClr w14:val="tx1"/>
            </w14:solidFill>
          </w14:textFill>
        </w:rPr>
        <w:t>7</w:t>
      </w:r>
      <w:r>
        <w:rPr>
          <w:rFonts w:hint="eastAsia" w:ascii="宋体" w:hAnsi="宋体"/>
          <w:snapToGrid w:val="0"/>
          <w:color w:val="000000" w:themeColor="text1"/>
          <w:sz w:val="28"/>
          <w:szCs w:val="28"/>
          <w14:textFill>
            <w14:solidFill>
              <w14:schemeClr w14:val="tx1"/>
            </w14:solidFill>
          </w14:textFill>
        </w:rPr>
        <w:t>人，</w:t>
      </w:r>
      <w:r>
        <w:rPr>
          <w:rFonts w:hint="eastAsia" w:ascii="宋体" w:hAnsi="宋体"/>
          <w:snapToGrid w:val="0"/>
          <w:color w:val="00B0F0"/>
          <w:sz w:val="28"/>
          <w:szCs w:val="28"/>
        </w:rPr>
        <w:t>1人为安全工程类本科，3人取得化工类注册安全工程师，3人取得化工类中级职称</w:t>
      </w:r>
      <w:r>
        <w:rPr>
          <w:rFonts w:hint="eastAsia" w:ascii="宋体" w:hAnsi="宋体"/>
          <w:snapToGrid w:val="0"/>
          <w:color w:val="000000" w:themeColor="text1"/>
          <w:sz w:val="28"/>
          <w:szCs w:val="28"/>
          <w14:textFill>
            <w14:solidFill>
              <w14:schemeClr w14:val="tx1"/>
            </w14:solidFill>
          </w14:textFill>
        </w:rPr>
        <w:t>），均已经考核合格，取得考核合格证，符合《山东省生产经营单位安全生产主体责任规定》（山东省人民政府令260号令第303、311、357号修正）第十条、《生产经营单位安全培训规定》（原国家安全生产监督管理总局令第3号，第63号、第80号修订）第二十四条及</w:t>
      </w:r>
      <w:r>
        <w:rPr>
          <w:rFonts w:hint="eastAsia" w:ascii="宋体" w:hAnsi="宋体" w:cs="宋体"/>
          <w:snapToGrid w:val="0"/>
          <w:sz w:val="28"/>
          <w:szCs w:val="28"/>
        </w:rPr>
        <w:t>《山东省应急管理厅关于印发&lt;山东省危险化学品经营许可证实施细则&gt;的通知》（鲁应急发〔2025〕4号）第3.3.4条</w:t>
      </w:r>
      <w:r>
        <w:rPr>
          <w:rFonts w:hint="eastAsia" w:ascii="宋体" w:hAnsi="宋体"/>
          <w:snapToGrid w:val="0"/>
          <w:color w:val="000000" w:themeColor="text1"/>
          <w:sz w:val="28"/>
          <w:szCs w:val="28"/>
          <w14:textFill>
            <w14:solidFill>
              <w14:schemeClr w14:val="tx1"/>
            </w14:solidFill>
          </w14:textFill>
        </w:rPr>
        <w:t>的要求；任命张德刚（化学工程，正高级工程师）为安全总监，专项分管本单位安全生产管理工作，符合《山东省人民政府办公厅关于印发&lt;山东省生产经营单位安全总监制度实施办法（试行）&gt;的通知》（鲁政办字〔2023〕116号）第四条及《山东省安全生产条例》山东省第十二届人大常委会公告[2017]第168号（2021年山东省第十三届人民代表大会常务委员会第三十二次会议修订）第二十一条的规定</w:t>
      </w:r>
      <w:r>
        <w:rPr>
          <w:rFonts w:hint="eastAsia" w:ascii="宋体" w:hAnsi="宋体"/>
          <w:color w:val="000000" w:themeColor="text1"/>
          <w:sz w:val="28"/>
          <w:szCs w:val="28"/>
          <w14:textFill>
            <w14:solidFill>
              <w14:schemeClr w14:val="tx1"/>
            </w14:solidFill>
          </w14:textFill>
        </w:rPr>
        <w:t>。</w:t>
      </w:r>
    </w:p>
    <w:p w14:paraId="374EE1BE">
      <w:pPr>
        <w:widowControl w:val="0"/>
        <w:adjustRightInd w:val="0"/>
        <w:snapToGrid w:val="0"/>
        <w:spacing w:line="360" w:lineRule="auto"/>
        <w:ind w:firstLine="560" w:firstLineChars="200"/>
        <w:rPr>
          <w:rFonts w:hint="eastAsia" w:ascii="宋体" w:hAnsi="宋体"/>
          <w:color w:val="000000" w:themeColor="text1"/>
          <w:kern w:val="28"/>
          <w:sz w:val="28"/>
          <w:szCs w:val="28"/>
          <w14:textFill>
            <w14:solidFill>
              <w14:schemeClr w14:val="tx1"/>
            </w14:solidFill>
          </w14:textFill>
        </w:rPr>
      </w:pPr>
      <w:r>
        <w:rPr>
          <w:rFonts w:hint="eastAsia" w:ascii="宋体" w:hAnsi="宋体"/>
          <w:color w:val="00B0F0"/>
          <w:kern w:val="28"/>
          <w:sz w:val="28"/>
          <w:szCs w:val="28"/>
        </w:rPr>
        <w:t>由于单位法定代表人更换，该公司于2024年10月11日变更了</w:t>
      </w:r>
      <w:r>
        <w:rPr>
          <w:rFonts w:hint="eastAsia" w:ascii="宋体" w:hAnsi="宋体"/>
          <w:color w:val="000000" w:themeColor="text1"/>
          <w:kern w:val="28"/>
          <w:sz w:val="28"/>
          <w:szCs w:val="28"/>
          <w14:textFill>
            <w14:solidFill>
              <w14:schemeClr w14:val="tx1"/>
            </w14:solidFill>
          </w14:textFill>
        </w:rPr>
        <w:t>《危险化学品经营许可证》，证书编号：鲁泰危化经[2022]000168号，许可范围：氧[压缩的或液化的]、氮[压缩的或液化的]、氩[压缩的或液化的]，有效期至2025年6月28日。</w:t>
      </w:r>
    </w:p>
    <w:p w14:paraId="6AC7F8B9">
      <w:pPr>
        <w:widowControl w:val="0"/>
        <w:adjustRightInd w:val="0"/>
        <w:snapToGrid w:val="0"/>
        <w:spacing w:line="360" w:lineRule="auto"/>
        <w:ind w:firstLine="560" w:firstLineChars="200"/>
        <w:rPr>
          <w:rFonts w:hint="eastAsia" w:ascii="宋体" w:hAnsi="宋体"/>
          <w:color w:val="000000" w:themeColor="text1"/>
          <w:kern w:val="28"/>
          <w:sz w:val="28"/>
          <w:szCs w:val="28"/>
          <w14:textFill>
            <w14:solidFill>
              <w14:schemeClr w14:val="tx1"/>
            </w14:solidFill>
          </w14:textFill>
        </w:rPr>
      </w:pPr>
      <w:r>
        <w:rPr>
          <w:rFonts w:hint="eastAsia" w:ascii="宋体" w:hAnsi="宋体"/>
          <w:color w:val="000000" w:themeColor="text1"/>
          <w:kern w:val="28"/>
          <w:sz w:val="28"/>
          <w:szCs w:val="28"/>
          <w14:textFill>
            <w14:solidFill>
              <w14:schemeClr w14:val="tx1"/>
            </w14:solidFill>
          </w14:textFill>
        </w:rPr>
        <w:t>2025年03月17日，山东省应急管理厅发布了《关于确定山东新和成药业有限公司等90家二级安全生产标准化企业的公告》，泰山玻璃纤维有限公司在本次公示企业名单中。</w:t>
      </w:r>
    </w:p>
    <w:p w14:paraId="4E45D627">
      <w:pPr>
        <w:widowControl w:val="0"/>
        <w:adjustRightInd w:val="0"/>
        <w:snapToGrid w:val="0"/>
        <w:spacing w:line="360" w:lineRule="auto"/>
        <w:ind w:firstLine="560" w:firstLineChars="200"/>
        <w:rPr>
          <w:rFonts w:hint="eastAsia" w:ascii="宋体" w:hAnsi="宋体"/>
          <w:color w:val="00B0F0"/>
          <w:kern w:val="28"/>
          <w:sz w:val="28"/>
          <w:szCs w:val="28"/>
        </w:rPr>
      </w:pPr>
      <w:r>
        <w:rPr>
          <w:rFonts w:hint="eastAsia" w:ascii="宋体" w:hAnsi="宋体"/>
          <w:color w:val="00B0F0"/>
          <w:kern w:val="28"/>
          <w:sz w:val="28"/>
          <w:szCs w:val="28"/>
        </w:rPr>
        <w:t>公司LNG储罐区、制氧站Ⅰ期储存单元、制氧站Ⅱ期储存单元3处危险化学品重大危险源，均已在泰安市岱岳区应急管理局进行了备案（备案编号：BA鲁370911〔2025〕001，有效期至2028年5月23日。</w:t>
      </w:r>
    </w:p>
    <w:p w14:paraId="2DC60138">
      <w:pPr>
        <w:widowControl w:val="0"/>
        <w:adjustRightInd w:val="0"/>
        <w:snapToGrid w:val="0"/>
        <w:spacing w:line="360" w:lineRule="auto"/>
        <w:ind w:firstLine="560" w:firstLineChars="200"/>
        <w:rPr>
          <w:rFonts w:hint="eastAsia" w:ascii="宋体" w:hAnsi="宋体"/>
          <w:color w:val="000000" w:themeColor="text1"/>
          <w:kern w:val="28"/>
          <w:sz w:val="28"/>
          <w:szCs w:val="28"/>
          <w14:textFill>
            <w14:solidFill>
              <w14:schemeClr w14:val="tx1"/>
            </w14:solidFill>
          </w14:textFill>
        </w:rPr>
      </w:pPr>
      <w:r>
        <w:rPr>
          <w:rFonts w:hint="eastAsia" w:ascii="宋体" w:hAnsi="宋体"/>
          <w:color w:val="000000" w:themeColor="text1"/>
          <w:kern w:val="28"/>
          <w:sz w:val="28"/>
          <w:szCs w:val="28"/>
          <w14:textFill>
            <w14:solidFill>
              <w14:schemeClr w14:val="tx1"/>
            </w14:solidFill>
          </w14:textFill>
        </w:rPr>
        <w:t>该公司建立有比较健全的安全管理制度、岗位安全操作规程、各级各类人员的安全生产责任制及各职能部门安全职责，成立了事故应急救援组织机构；公司制定了生产安全事故应急预案，并于2023年6月2日在泰安市岱岳区应急管理局备案，备案编号：3709112023010；应急预案内容格式符合《生产安全事故应急预案编制导则》GB/T29639-2020的要求。</w:t>
      </w:r>
    </w:p>
    <w:p w14:paraId="5815EF37">
      <w:pPr>
        <w:widowControl w:val="0"/>
        <w:adjustRightInd w:val="0"/>
        <w:snapToGrid w:val="0"/>
        <w:spacing w:line="360" w:lineRule="auto"/>
        <w:ind w:firstLine="560" w:firstLineChars="200"/>
        <w:rPr>
          <w:rFonts w:hint="eastAsia" w:ascii="宋体" w:hAnsi="宋体"/>
          <w:color w:val="000000" w:themeColor="text1"/>
          <w:kern w:val="28"/>
          <w:sz w:val="28"/>
          <w:szCs w:val="28"/>
          <w14:textFill>
            <w14:solidFill>
              <w14:schemeClr w14:val="tx1"/>
            </w14:solidFill>
          </w14:textFill>
        </w:rPr>
      </w:pPr>
      <w:r>
        <w:rPr>
          <w:rFonts w:hint="eastAsia" w:ascii="宋体" w:hAnsi="宋体"/>
          <w:color w:val="000000" w:themeColor="text1"/>
          <w:kern w:val="28"/>
          <w:sz w:val="28"/>
          <w:szCs w:val="28"/>
          <w14:textFill>
            <w14:solidFill>
              <w14:schemeClr w14:val="tx1"/>
            </w14:solidFill>
          </w14:textFill>
        </w:rPr>
        <w:t>公司特种作业人员、特种设备作业人员均经培训考核合格、持证上岗，符合《特种作业人员安全技术培训考核管理规定》安监总局30号令（第63、80号修订）、《特种设备作业人员配备要求》（DB37/T3080-2022）及《市场监管总局关于特种设备行政许可有关事项的公告》2021年第41号的要求。</w:t>
      </w:r>
    </w:p>
    <w:p w14:paraId="0360D5A0">
      <w:pPr>
        <w:widowControl w:val="0"/>
        <w:adjustRightInd w:val="0"/>
        <w:snapToGrid w:val="0"/>
        <w:spacing w:line="360" w:lineRule="auto"/>
        <w:ind w:firstLine="560" w:firstLineChars="200"/>
        <w:rPr>
          <w:rFonts w:hint="eastAsia" w:ascii="宋体" w:hAnsi="宋体"/>
          <w:color w:val="000000" w:themeColor="text1"/>
          <w:kern w:val="28"/>
          <w:sz w:val="28"/>
          <w:szCs w:val="28"/>
          <w14:textFill>
            <w14:solidFill>
              <w14:schemeClr w14:val="tx1"/>
            </w14:solidFill>
          </w14:textFill>
        </w:rPr>
      </w:pPr>
      <w:r>
        <w:rPr>
          <w:rFonts w:hint="eastAsia" w:ascii="宋体" w:hAnsi="宋体"/>
          <w:color w:val="000000" w:themeColor="text1"/>
          <w:kern w:val="28"/>
          <w:sz w:val="28"/>
          <w:szCs w:val="28"/>
          <w14:textFill>
            <w14:solidFill>
              <w14:schemeClr w14:val="tx1"/>
            </w14:solidFill>
          </w14:textFill>
        </w:rPr>
        <w:t>其他员工上岗前均经过三级安全教育和专业工种培训，掌握安全知识、专业技术、应急防护和应急救援知识，并经考核合格后上岗。</w:t>
      </w:r>
    </w:p>
    <w:p w14:paraId="28705A58">
      <w:pPr>
        <w:widowControl w:val="0"/>
        <w:adjustRightInd w:val="0"/>
        <w:snapToGrid w:val="0"/>
        <w:spacing w:line="360" w:lineRule="auto"/>
        <w:ind w:firstLine="560" w:firstLineChars="200"/>
        <w:rPr>
          <w:rFonts w:hint="eastAsia" w:ascii="宋体" w:hAnsi="宋体"/>
          <w:color w:val="000000" w:themeColor="text1"/>
          <w:kern w:val="28"/>
          <w:sz w:val="28"/>
          <w:szCs w:val="28"/>
          <w14:textFill>
            <w14:solidFill>
              <w14:schemeClr w14:val="tx1"/>
            </w14:solidFill>
          </w14:textFill>
        </w:rPr>
      </w:pPr>
      <w:r>
        <w:rPr>
          <w:rFonts w:hint="eastAsia" w:ascii="宋体" w:hAnsi="宋体"/>
          <w:color w:val="000000" w:themeColor="text1"/>
          <w:kern w:val="28"/>
          <w:sz w:val="28"/>
          <w:szCs w:val="28"/>
          <w14:textFill>
            <w14:solidFill>
              <w14:schemeClr w14:val="tx1"/>
            </w14:solidFill>
          </w14:textFill>
        </w:rPr>
        <w:t>企业定期对工人进行了安全生产知识教育及培训工作，为职工配备了劳动防护用品，按规定为职工缴纳了工伤保险及安全生产责任保险。</w:t>
      </w:r>
    </w:p>
    <w:p w14:paraId="2D203F05">
      <w:pPr>
        <w:pStyle w:val="6"/>
        <w:keepNext w:val="0"/>
        <w:adjustRightInd w:val="0"/>
        <w:snapToGrid w:val="0"/>
        <w:spacing w:line="360" w:lineRule="auto"/>
        <w:ind w:right="0"/>
        <w:rPr>
          <w:rStyle w:val="30"/>
          <w:rFonts w:ascii="楷体_GB2312" w:eastAsia="楷体_GB2312"/>
          <w:snapToGrid w:val="0"/>
          <w:color w:val="000000" w:themeColor="text1"/>
          <w:kern w:val="0"/>
          <w:szCs w:val="32"/>
          <w14:textFill>
            <w14:solidFill>
              <w14:schemeClr w14:val="tx1"/>
            </w14:solidFill>
          </w14:textFill>
        </w:rPr>
      </w:pPr>
      <w:bookmarkStart w:id="9" w:name="_Toc3466"/>
      <w:bookmarkStart w:id="10" w:name="_Toc321761905"/>
      <w:r>
        <w:rPr>
          <w:rStyle w:val="30"/>
          <w:rFonts w:hint="eastAsia" w:ascii="楷体_GB2312" w:eastAsia="楷体_GB2312"/>
          <w:snapToGrid w:val="0"/>
          <w:color w:val="000000" w:themeColor="text1"/>
          <w:kern w:val="0"/>
          <w:szCs w:val="32"/>
          <w14:textFill>
            <w14:solidFill>
              <w14:schemeClr w14:val="tx1"/>
            </w14:solidFill>
          </w14:textFill>
        </w:rPr>
        <w:t>第二节 项目概况</w:t>
      </w:r>
      <w:bookmarkEnd w:id="9"/>
      <w:bookmarkEnd w:id="10"/>
    </w:p>
    <w:p w14:paraId="0D6B25DF">
      <w:pPr>
        <w:widowControl w:val="0"/>
        <w:adjustRightInd w:val="0"/>
        <w:snapToGrid w:val="0"/>
        <w:spacing w:line="360" w:lineRule="auto"/>
        <w:ind w:firstLine="562" w:firstLineChars="200"/>
        <w:textAlignment w:val="center"/>
        <w:rPr>
          <w:rFonts w:ascii="黑体" w:eastAsia="黑体"/>
          <w:b/>
          <w:snapToGrid w:val="0"/>
          <w:color w:val="000000" w:themeColor="text1"/>
          <w:sz w:val="28"/>
          <w14:textFill>
            <w14:solidFill>
              <w14:schemeClr w14:val="tx1"/>
            </w14:solidFill>
          </w14:textFill>
        </w:rPr>
      </w:pPr>
      <w:r>
        <w:rPr>
          <w:rFonts w:hint="eastAsia" w:ascii="黑体" w:eastAsia="黑体"/>
          <w:b/>
          <w:snapToGrid w:val="0"/>
          <w:color w:val="000000" w:themeColor="text1"/>
          <w:sz w:val="28"/>
          <w14:textFill>
            <w14:solidFill>
              <w14:schemeClr w14:val="tx1"/>
            </w14:solidFill>
          </w14:textFill>
        </w:rPr>
        <w:t>一、项目简介</w:t>
      </w:r>
    </w:p>
    <w:p w14:paraId="58038C74">
      <w:pPr>
        <w:widowControl w:val="0"/>
        <w:adjustRightInd w:val="0"/>
        <w:snapToGrid w:val="0"/>
        <w:spacing w:line="360" w:lineRule="auto"/>
        <w:ind w:firstLine="560" w:firstLineChars="200"/>
        <w:rPr>
          <w:rFonts w:hint="eastAsia" w:ascii="宋体" w:hAnsi="宋体"/>
          <w:color w:val="000000" w:themeColor="text1"/>
          <w:kern w:val="28"/>
          <w:sz w:val="28"/>
          <w:szCs w:val="28"/>
          <w14:textFill>
            <w14:solidFill>
              <w14:schemeClr w14:val="tx1"/>
            </w14:solidFill>
          </w14:textFill>
        </w:rPr>
      </w:pPr>
      <w:r>
        <w:rPr>
          <w:rFonts w:hint="eastAsia" w:ascii="宋体" w:hAnsi="宋体"/>
          <w:color w:val="000000" w:themeColor="text1"/>
          <w:kern w:val="28"/>
          <w:sz w:val="28"/>
          <w:szCs w:val="28"/>
          <w14:textFill>
            <w14:solidFill>
              <w14:schemeClr w14:val="tx1"/>
            </w14:solidFill>
          </w14:textFill>
        </w:rPr>
        <w:t>泰山玻璃纤维有限公司为满足生产线的需要，在厂区</w:t>
      </w:r>
      <w:r>
        <w:rPr>
          <w:rFonts w:hint="eastAsia" w:ascii="宋体" w:hAnsi="宋体"/>
          <w:color w:val="00B0F0"/>
          <w:kern w:val="28"/>
          <w:sz w:val="28"/>
          <w:szCs w:val="28"/>
        </w:rPr>
        <w:t>建有</w:t>
      </w:r>
      <w:r>
        <w:rPr>
          <w:rFonts w:hint="eastAsia" w:ascii="宋体" w:hAnsi="宋体"/>
          <w:color w:val="000000" w:themeColor="text1"/>
          <w:kern w:val="28"/>
          <w:sz w:val="28"/>
          <w:szCs w:val="28"/>
          <w14:textFill>
            <w14:solidFill>
              <w14:schemeClr w14:val="tx1"/>
            </w14:solidFill>
          </w14:textFill>
        </w:rPr>
        <w:t>2套空分制氧生产装置，其中制氧站Ⅰ期（10000Nm³/h）主要包括：空气过滤器、空压机、氮压机、控制室、配电室、变压器室、膨胀机室、分馏塔、气化器、吸附器、1台1500m³液氧储罐、1台30m³液氧（目前已停用</w:t>
      </w:r>
      <w:r>
        <w:rPr>
          <w:rFonts w:hint="eastAsia" w:ascii="宋体" w:hAnsi="宋体"/>
          <w:color w:val="000000" w:themeColor="text1"/>
          <w:kern w:val="28"/>
          <w:sz w:val="28"/>
          <w:szCs w:val="28"/>
          <w:lang w:eastAsia="zh-CN"/>
          <w14:textFill>
            <w14:solidFill>
              <w14:schemeClr w14:val="tx1"/>
            </w14:solidFill>
          </w14:textFill>
        </w:rPr>
        <w:t>，</w:t>
      </w:r>
      <w:r>
        <w:rPr>
          <w:rFonts w:hint="eastAsia" w:ascii="宋体" w:hAnsi="宋体"/>
          <w:color w:val="000000" w:themeColor="text1"/>
          <w:kern w:val="28"/>
          <w:sz w:val="28"/>
          <w:szCs w:val="28"/>
          <w:lang w:val="en-US" w:eastAsia="zh-CN"/>
          <w14:textFill>
            <w14:solidFill>
              <w14:schemeClr w14:val="tx1"/>
            </w14:solidFill>
          </w14:textFill>
        </w:rPr>
        <w:t>不在本次评价范围内</w:t>
      </w:r>
      <w:r>
        <w:rPr>
          <w:rFonts w:hint="eastAsia" w:ascii="宋体" w:hAnsi="宋体"/>
          <w:color w:val="000000" w:themeColor="text1"/>
          <w:kern w:val="28"/>
          <w:sz w:val="28"/>
          <w:szCs w:val="28"/>
          <w14:textFill>
            <w14:solidFill>
              <w14:schemeClr w14:val="tx1"/>
            </w14:solidFill>
          </w14:textFill>
        </w:rPr>
        <w:t>）、1台50m³液氧、2台50m³液氩、1台100m³液氮储罐、1台10m³液氮储罐等；制氧站Ⅱ期（15000Nm³/h）主要包括：空气过滤器、空压机、氮压机、控制室、配电室、变压器室、膨胀机室、分馏塔、气化器、吸附器、1台2000m³液氧储罐、1台50m³液氧储罐、2台50m³液氩储罐、1台100m³液氮储罐、1台50m³液氮储罐等。</w:t>
      </w:r>
    </w:p>
    <w:p w14:paraId="5A3F4BE3">
      <w:pPr>
        <w:widowControl w:val="0"/>
        <w:adjustRightInd w:val="0"/>
        <w:snapToGrid w:val="0"/>
        <w:spacing w:line="360" w:lineRule="auto"/>
        <w:ind w:firstLine="560" w:firstLineChars="200"/>
        <w:rPr>
          <w:rFonts w:hint="eastAsia" w:ascii="宋体" w:hAnsi="宋体"/>
          <w:color w:val="000000" w:themeColor="text1"/>
          <w:kern w:val="28"/>
          <w:sz w:val="28"/>
          <w:szCs w:val="28"/>
          <w14:textFill>
            <w14:solidFill>
              <w14:schemeClr w14:val="tx1"/>
            </w14:solidFill>
          </w14:textFill>
        </w:rPr>
      </w:pPr>
      <w:r>
        <w:rPr>
          <w:rFonts w:hint="eastAsia" w:ascii="宋体" w:hAnsi="宋体"/>
          <w:color w:val="000000" w:themeColor="text1"/>
          <w:kern w:val="28"/>
          <w:sz w:val="28"/>
          <w:szCs w:val="28"/>
          <w14:textFill>
            <w14:solidFill>
              <w14:schemeClr w14:val="tx1"/>
            </w14:solidFill>
          </w14:textFill>
        </w:rPr>
        <w:t>2022年05月21日济宁永安安全生产科技研究院有限公司对该公司空分制氧生产装置进行了安全现状评价，评价结论为具备国家现行有关安全生产法律、法规和部门规章及标准规定要求的安全生产条件。目前该项目正常生产，安全设施及周边环境未发生变化。</w:t>
      </w:r>
    </w:p>
    <w:p w14:paraId="426A273A">
      <w:pPr>
        <w:widowControl w:val="0"/>
        <w:wordWrap w:val="0"/>
        <w:adjustRightInd w:val="0"/>
        <w:snapToGrid w:val="0"/>
        <w:spacing w:line="360" w:lineRule="auto"/>
        <w:ind w:firstLine="560" w:firstLineChars="200"/>
        <w:rPr>
          <w:rFonts w:hint="eastAsia" w:ascii="宋体" w:hAnsi="宋体"/>
          <w:color w:val="000000" w:themeColor="text1"/>
          <w:kern w:val="28"/>
          <w:sz w:val="28"/>
          <w:szCs w:val="28"/>
          <w14:textFill>
            <w14:solidFill>
              <w14:schemeClr w14:val="tx1"/>
            </w14:solidFill>
          </w14:textFill>
        </w:rPr>
      </w:pPr>
      <w:r>
        <w:rPr>
          <w:rFonts w:hint="eastAsia" w:ascii="宋体" w:hAnsi="宋体"/>
          <w:color w:val="000000" w:themeColor="text1"/>
          <w:kern w:val="28"/>
          <w:sz w:val="28"/>
          <w:szCs w:val="28"/>
          <w14:textFill>
            <w14:solidFill>
              <w14:schemeClr w14:val="tx1"/>
            </w14:solidFill>
          </w14:textFill>
        </w:rPr>
        <w:t>2025年05月05日，本溪普天防雷检测有限公司对该公司厂区二类雷电防护装置进行了检测（包含制氧站），防雷检测报告编号：1062017002[2025JN]D0622，检测结论为“合格：建筑物防雷装置符合现行国家防雷规范标准要求”，有效期至2025年11月09日。</w:t>
      </w:r>
    </w:p>
    <w:p w14:paraId="57AB5AF8">
      <w:pPr>
        <w:widowControl w:val="0"/>
        <w:adjustRightInd w:val="0"/>
        <w:snapToGrid w:val="0"/>
        <w:spacing w:line="360" w:lineRule="auto"/>
        <w:ind w:firstLine="560" w:firstLineChars="200"/>
        <w:rPr>
          <w:rFonts w:hint="eastAsia" w:ascii="宋体" w:hAnsi="宋体"/>
          <w:color w:val="000000" w:themeColor="text1"/>
          <w:kern w:val="28"/>
          <w:sz w:val="28"/>
          <w:szCs w:val="28"/>
          <w14:textFill>
            <w14:solidFill>
              <w14:schemeClr w14:val="tx1"/>
            </w14:solidFill>
          </w14:textFill>
        </w:rPr>
      </w:pPr>
      <w:r>
        <w:rPr>
          <w:rFonts w:hint="eastAsia" w:ascii="宋体" w:hAnsi="宋体"/>
          <w:color w:val="000000" w:themeColor="text1"/>
          <w:kern w:val="28"/>
          <w:sz w:val="28"/>
          <w:szCs w:val="28"/>
          <w14:textFill>
            <w14:solidFill>
              <w14:schemeClr w14:val="tx1"/>
            </w14:solidFill>
          </w14:textFill>
        </w:rPr>
        <w:t>2015年09月01日泰安市公安消防支队对制氧站</w:t>
      </w:r>
      <w:r>
        <w:rPr>
          <w:rFonts w:hint="eastAsia" w:ascii="宋体" w:hAnsi="宋体" w:cs="宋体"/>
          <w:color w:val="000000" w:themeColor="text1"/>
          <w:kern w:val="28"/>
          <w:sz w:val="28"/>
          <w:szCs w:val="28"/>
          <w14:textFill>
            <w14:solidFill>
              <w14:schemeClr w14:val="tx1"/>
            </w14:solidFill>
          </w14:textFill>
        </w:rPr>
        <w:t>Ⅰ</w:t>
      </w:r>
      <w:r>
        <w:rPr>
          <w:rFonts w:hint="eastAsia" w:ascii="宋体" w:hAnsi="宋体"/>
          <w:color w:val="000000" w:themeColor="text1"/>
          <w:kern w:val="28"/>
          <w:sz w:val="28"/>
          <w:szCs w:val="28"/>
          <w14:textFill>
            <w14:solidFill>
              <w14:schemeClr w14:val="tx1"/>
            </w14:solidFill>
          </w14:textFill>
        </w:rPr>
        <w:t>期主厂房进行了消防验收，出具了《建设工程消防验收意见书》，意见书编号：泰公消验字</w:t>
      </w:r>
      <w:r>
        <w:rPr>
          <w:rFonts w:hint="eastAsia" w:ascii="宋体" w:hAnsi="宋体" w:cs="宋体"/>
          <w:color w:val="000000" w:themeColor="text1"/>
          <w:kern w:val="28"/>
          <w:sz w:val="28"/>
          <w:szCs w:val="28"/>
          <w14:textFill>
            <w14:solidFill>
              <w14:schemeClr w14:val="tx1"/>
            </w14:solidFill>
          </w14:textFill>
        </w:rPr>
        <w:t>〔</w:t>
      </w:r>
      <w:r>
        <w:rPr>
          <w:rFonts w:hint="eastAsia" w:ascii="宋体" w:hAnsi="宋体"/>
          <w:color w:val="000000" w:themeColor="text1"/>
          <w:kern w:val="28"/>
          <w:sz w:val="28"/>
          <w:szCs w:val="28"/>
          <w14:textFill>
            <w14:solidFill>
              <w14:schemeClr w14:val="tx1"/>
            </w14:solidFill>
          </w14:textFill>
        </w:rPr>
        <w:t>2015</w:t>
      </w:r>
      <w:r>
        <w:rPr>
          <w:rFonts w:hint="eastAsia" w:ascii="宋体" w:hAnsi="宋体" w:cs="宋体"/>
          <w:color w:val="000000" w:themeColor="text1"/>
          <w:kern w:val="28"/>
          <w:sz w:val="28"/>
          <w:szCs w:val="28"/>
          <w14:textFill>
            <w14:solidFill>
              <w14:schemeClr w14:val="tx1"/>
            </w14:solidFill>
          </w14:textFill>
        </w:rPr>
        <w:t>〕</w:t>
      </w:r>
      <w:r>
        <w:rPr>
          <w:rFonts w:hint="eastAsia" w:ascii="宋体" w:hAnsi="宋体"/>
          <w:color w:val="000000" w:themeColor="text1"/>
          <w:kern w:val="28"/>
          <w:sz w:val="28"/>
          <w:szCs w:val="28"/>
          <w14:textFill>
            <w14:solidFill>
              <w14:schemeClr w14:val="tx1"/>
            </w14:solidFill>
          </w14:textFill>
        </w:rPr>
        <w:t>第0077号，综合评定该建设工程消防验收合格。</w:t>
      </w:r>
    </w:p>
    <w:p w14:paraId="17417CF7">
      <w:pPr>
        <w:widowControl w:val="0"/>
        <w:adjustRightInd w:val="0"/>
        <w:snapToGrid w:val="0"/>
        <w:spacing w:line="360" w:lineRule="auto"/>
        <w:ind w:firstLine="560" w:firstLineChars="200"/>
        <w:rPr>
          <w:rFonts w:hint="eastAsia" w:ascii="宋体" w:hAnsi="宋体"/>
          <w:color w:val="000000" w:themeColor="text1"/>
          <w:kern w:val="28"/>
          <w:sz w:val="28"/>
          <w:szCs w:val="28"/>
          <w14:textFill>
            <w14:solidFill>
              <w14:schemeClr w14:val="tx1"/>
            </w14:solidFill>
          </w14:textFill>
        </w:rPr>
      </w:pPr>
      <w:r>
        <w:rPr>
          <w:rFonts w:hint="eastAsia" w:ascii="宋体" w:hAnsi="宋体"/>
          <w:color w:val="000000" w:themeColor="text1"/>
          <w:kern w:val="28"/>
          <w:sz w:val="28"/>
          <w:szCs w:val="28"/>
          <w14:textFill>
            <w14:solidFill>
              <w14:schemeClr w14:val="tx1"/>
            </w14:solidFill>
          </w14:textFill>
        </w:rPr>
        <w:t>2018年11月05日，制氧站</w:t>
      </w:r>
      <w:r>
        <w:rPr>
          <w:rFonts w:hint="eastAsia" w:ascii="宋体" w:hAnsi="宋体" w:cs="宋体"/>
          <w:color w:val="000000" w:themeColor="text1"/>
          <w:kern w:val="28"/>
          <w:sz w:val="28"/>
          <w:szCs w:val="28"/>
          <w14:textFill>
            <w14:solidFill>
              <w14:schemeClr w14:val="tx1"/>
            </w14:solidFill>
          </w14:textFill>
        </w:rPr>
        <w:t>Ⅱ</w:t>
      </w:r>
      <w:r>
        <w:rPr>
          <w:rFonts w:hint="eastAsia" w:ascii="宋体" w:hAnsi="宋体"/>
          <w:color w:val="000000" w:themeColor="text1"/>
          <w:kern w:val="28"/>
          <w:sz w:val="28"/>
          <w:szCs w:val="28"/>
          <w14:textFill>
            <w14:solidFill>
              <w14:schemeClr w14:val="tx1"/>
            </w14:solidFill>
          </w14:textFill>
        </w:rPr>
        <w:t>期在泰安市公安消防支队岱岳区大队进行了建设工程竣工验收消防备案，备案号为：37009202NYS180055，备案结果为：未确定为抽查对象。</w:t>
      </w:r>
    </w:p>
    <w:p w14:paraId="786E2888">
      <w:pPr>
        <w:widowControl w:val="0"/>
        <w:adjustRightInd w:val="0"/>
        <w:snapToGrid w:val="0"/>
        <w:spacing w:line="360" w:lineRule="auto"/>
        <w:ind w:firstLine="560" w:firstLineChars="200"/>
        <w:rPr>
          <w:rFonts w:hint="eastAsia" w:ascii="宋体" w:hAnsi="宋体"/>
          <w:color w:val="000000" w:themeColor="text1"/>
          <w:kern w:val="28"/>
          <w:sz w:val="28"/>
          <w:szCs w:val="28"/>
          <w14:textFill>
            <w14:solidFill>
              <w14:schemeClr w14:val="tx1"/>
            </w14:solidFill>
          </w14:textFill>
        </w:rPr>
      </w:pPr>
      <w:r>
        <w:rPr>
          <w:rFonts w:hint="eastAsia" w:ascii="宋体" w:hAnsi="宋体"/>
          <w:color w:val="000000" w:themeColor="text1"/>
          <w:kern w:val="28"/>
          <w:sz w:val="28"/>
          <w:szCs w:val="28"/>
          <w:highlight w:val="none"/>
          <w:lang w:val="en-US" w:eastAsia="zh-CN"/>
          <w14:textFill>
            <w14:solidFill>
              <w14:schemeClr w14:val="tx1"/>
            </w14:solidFill>
          </w14:textFill>
        </w:rPr>
        <w:t>该项目共有31台压力容器（停用1台）、3台起重机、72只安全阀、26只压力表、4台气体检测报警仪（便携式）、19台气体泄漏探测器</w:t>
      </w:r>
      <w:r>
        <w:rPr>
          <w:rFonts w:hint="eastAsia" w:ascii="宋体" w:hAnsi="宋体"/>
          <w:color w:val="00B0F0"/>
          <w:kern w:val="28"/>
          <w:sz w:val="28"/>
          <w:szCs w:val="28"/>
          <w:highlight w:val="none"/>
          <w:lang w:val="en-US" w:eastAsia="zh-CN"/>
        </w:rPr>
        <w:t>，</w:t>
      </w:r>
      <w:r>
        <w:rPr>
          <w:rFonts w:hint="eastAsia" w:ascii="宋体" w:hAnsi="宋体"/>
          <w:color w:val="000000" w:themeColor="text1"/>
          <w:kern w:val="28"/>
          <w:sz w:val="28"/>
          <w:szCs w:val="28"/>
          <w:highlight w:val="none"/>
          <w:lang w:val="en-US" w:eastAsia="zh-CN"/>
          <w14:textFill>
            <w14:solidFill>
              <w14:schemeClr w14:val="tx1"/>
            </w14:solidFill>
          </w14:textFill>
        </w:rPr>
        <w:t>均定期进行检验</w:t>
      </w:r>
      <w:r>
        <w:rPr>
          <w:rFonts w:hint="eastAsia" w:ascii="宋体" w:hAnsi="宋体"/>
          <w:color w:val="00B0F0"/>
          <w:kern w:val="28"/>
          <w:sz w:val="28"/>
          <w:szCs w:val="28"/>
          <w:highlight w:val="none"/>
          <w:lang w:val="en-US" w:eastAsia="zh-CN"/>
        </w:rPr>
        <w:t>/校验/检定/校准</w:t>
      </w:r>
      <w:r>
        <w:rPr>
          <w:rFonts w:hint="eastAsia" w:ascii="宋体" w:hAnsi="宋体"/>
          <w:color w:val="000000" w:themeColor="text1"/>
          <w:kern w:val="28"/>
          <w:sz w:val="28"/>
          <w:szCs w:val="28"/>
          <w:highlight w:val="none"/>
          <w:lang w:val="en-US" w:eastAsia="zh-CN"/>
          <w14:textFill>
            <w14:solidFill>
              <w14:schemeClr w14:val="tx1"/>
            </w14:solidFill>
          </w14:textFill>
        </w:rPr>
        <w:t>，报告在有效期内，详见报告特种设备设施一览表、安全附件一览表及报告附件</w:t>
      </w:r>
      <w:r>
        <w:rPr>
          <w:rFonts w:hint="eastAsia" w:ascii="宋体" w:hAnsi="宋体"/>
          <w:color w:val="000000" w:themeColor="text1"/>
          <w:kern w:val="28"/>
          <w:sz w:val="28"/>
          <w:szCs w:val="28"/>
          <w14:textFill>
            <w14:solidFill>
              <w14:schemeClr w14:val="tx1"/>
            </w14:solidFill>
          </w14:textFill>
        </w:rPr>
        <w:t>。</w:t>
      </w:r>
    </w:p>
    <w:p w14:paraId="635D8DA8">
      <w:pPr>
        <w:widowControl w:val="0"/>
        <w:adjustRightInd w:val="0"/>
        <w:snapToGrid w:val="0"/>
        <w:spacing w:line="360" w:lineRule="auto"/>
        <w:ind w:firstLine="560" w:firstLineChars="200"/>
        <w:rPr>
          <w:rFonts w:hint="eastAsia" w:ascii="宋体" w:hAnsi="宋体"/>
          <w:color w:val="000000" w:themeColor="text1"/>
          <w:kern w:val="28"/>
          <w:sz w:val="28"/>
          <w:szCs w:val="28"/>
          <w14:textFill>
            <w14:solidFill>
              <w14:schemeClr w14:val="tx1"/>
            </w14:solidFill>
          </w14:textFill>
        </w:rPr>
      </w:pPr>
      <w:r>
        <w:rPr>
          <w:rFonts w:hint="eastAsia" w:ascii="宋体" w:hAnsi="宋体"/>
          <w:color w:val="000000" w:themeColor="text1"/>
          <w:kern w:val="28"/>
          <w:sz w:val="28"/>
          <w:szCs w:val="28"/>
          <w14:textFill>
            <w14:solidFill>
              <w14:schemeClr w14:val="tx1"/>
            </w14:solidFill>
          </w14:textFill>
        </w:rPr>
        <w:t>该项目配备的压力管道由泰安市特种设备检验研究院进行了检验并出具了检验报告，报告编号为TA-GDD-2025-0016-03J，报告有效期至2028年03月，详见报告附件。</w:t>
      </w:r>
    </w:p>
    <w:p w14:paraId="0C25E769">
      <w:pPr>
        <w:pStyle w:val="23"/>
        <w:widowControl w:val="0"/>
        <w:adjustRightInd w:val="0"/>
        <w:snapToGrid w:val="0"/>
        <w:spacing w:line="360" w:lineRule="auto"/>
        <w:ind w:firstLine="560"/>
        <w:rPr>
          <w:rFonts w:ascii="宋体"/>
        </w:rPr>
      </w:pPr>
    </w:p>
    <w:p w14:paraId="6BB29CFA">
      <w:pPr>
        <w:pStyle w:val="4"/>
        <w:keepNext w:val="0"/>
        <w:adjustRightInd w:val="0"/>
        <w:snapToGrid w:val="0"/>
        <w:spacing w:line="360" w:lineRule="auto"/>
        <w:rPr>
          <w:rFonts w:ascii="黑体" w:eastAsia="黑体"/>
          <w:snapToGrid w:val="0"/>
          <w:color w:val="000000" w:themeColor="text1"/>
          <w:spacing w:val="0"/>
          <w:kern w:val="0"/>
          <w:sz w:val="32"/>
          <w:szCs w:val="32"/>
          <w14:textFill>
            <w14:solidFill>
              <w14:schemeClr w14:val="tx1"/>
            </w14:solidFill>
          </w14:textFill>
        </w:rPr>
      </w:pPr>
      <w:bookmarkStart w:id="11" w:name="_Toc28227"/>
      <w:bookmarkStart w:id="12" w:name="_Toc102634414"/>
      <w:bookmarkStart w:id="13" w:name="_Toc102634276"/>
      <w:bookmarkStart w:id="14" w:name="_Toc102633914"/>
      <w:bookmarkStart w:id="15" w:name="_Toc15033761"/>
      <w:bookmarkStart w:id="16" w:name="_Toc9894"/>
      <w:bookmarkStart w:id="17" w:name="_Toc102633988"/>
      <w:r>
        <w:rPr>
          <w:rFonts w:hint="eastAsia" w:ascii="黑体" w:eastAsia="黑体"/>
          <w:snapToGrid w:val="0"/>
          <w:color w:val="000000" w:themeColor="text1"/>
          <w:spacing w:val="0"/>
          <w:kern w:val="0"/>
          <w:sz w:val="32"/>
          <w:szCs w:val="32"/>
          <w14:textFill>
            <w14:solidFill>
              <w14:schemeClr w14:val="tx1"/>
            </w14:solidFill>
          </w14:textFill>
        </w:rPr>
        <w:t xml:space="preserve">第四章 </w:t>
      </w:r>
      <w:r>
        <w:rPr>
          <w:rFonts w:ascii="黑体" w:eastAsia="黑体"/>
          <w:snapToGrid w:val="0"/>
          <w:color w:val="000000" w:themeColor="text1"/>
          <w:spacing w:val="0"/>
          <w:kern w:val="0"/>
          <w:sz w:val="32"/>
          <w:szCs w:val="32"/>
          <w14:textFill>
            <w14:solidFill>
              <w14:schemeClr w14:val="tx1"/>
            </w14:solidFill>
          </w14:textFill>
        </w:rPr>
        <w:t>评价</w:t>
      </w:r>
      <w:r>
        <w:rPr>
          <w:rFonts w:hint="eastAsia" w:ascii="黑体" w:eastAsia="黑体"/>
          <w:snapToGrid w:val="0"/>
          <w:color w:val="000000" w:themeColor="text1"/>
          <w:spacing w:val="0"/>
          <w:kern w:val="0"/>
          <w:sz w:val="32"/>
          <w:szCs w:val="32"/>
          <w14:textFill>
            <w14:solidFill>
              <w14:schemeClr w14:val="tx1"/>
            </w14:solidFill>
          </w14:textFill>
        </w:rPr>
        <w:t>单元划分和评价方法选择</w:t>
      </w:r>
      <w:bookmarkEnd w:id="11"/>
    </w:p>
    <w:p w14:paraId="2363ECA0">
      <w:pPr>
        <w:pStyle w:val="6"/>
        <w:keepNext w:val="0"/>
        <w:adjustRightInd w:val="0"/>
        <w:snapToGrid w:val="0"/>
        <w:spacing w:line="360" w:lineRule="auto"/>
        <w:ind w:right="0"/>
        <w:rPr>
          <w:rStyle w:val="30"/>
          <w:rFonts w:ascii="楷体_GB2312" w:eastAsia="楷体_GB2312"/>
          <w:snapToGrid w:val="0"/>
          <w:color w:val="000000" w:themeColor="text1"/>
          <w:kern w:val="0"/>
          <w:szCs w:val="32"/>
          <w14:textFill>
            <w14:solidFill>
              <w14:schemeClr w14:val="tx1"/>
            </w14:solidFill>
          </w14:textFill>
        </w:rPr>
      </w:pPr>
      <w:bookmarkStart w:id="18" w:name="_Toc321761913"/>
      <w:bookmarkStart w:id="19" w:name="_Toc24546"/>
      <w:r>
        <w:rPr>
          <w:rStyle w:val="30"/>
          <w:rFonts w:hint="eastAsia" w:ascii="楷体_GB2312" w:eastAsia="楷体_GB2312"/>
          <w:snapToGrid w:val="0"/>
          <w:color w:val="000000" w:themeColor="text1"/>
          <w:kern w:val="0"/>
          <w:szCs w:val="32"/>
          <w14:textFill>
            <w14:solidFill>
              <w14:schemeClr w14:val="tx1"/>
            </w14:solidFill>
          </w14:textFill>
        </w:rPr>
        <w:t>第一节 评价单元划分</w:t>
      </w:r>
      <w:bookmarkEnd w:id="18"/>
      <w:bookmarkEnd w:id="19"/>
    </w:p>
    <w:p w14:paraId="646F596F">
      <w:pPr>
        <w:widowControl w:val="0"/>
        <w:adjustRightInd w:val="0"/>
        <w:snapToGrid w:val="0"/>
        <w:spacing w:line="360" w:lineRule="auto"/>
        <w:ind w:firstLine="560" w:firstLineChars="200"/>
        <w:textAlignment w:val="center"/>
        <w:rPr>
          <w:rFonts w:ascii="宋体"/>
          <w:snapToGrid w:val="0"/>
          <w:color w:val="000000" w:themeColor="text1"/>
          <w:sz w:val="28"/>
          <w:szCs w:val="28"/>
          <w14:textFill>
            <w14:solidFill>
              <w14:schemeClr w14:val="tx1"/>
            </w14:solidFill>
          </w14:textFill>
        </w:rPr>
      </w:pPr>
      <w:r>
        <w:rPr>
          <w:rFonts w:hint="eastAsia" w:ascii="宋体"/>
          <w:snapToGrid w:val="0"/>
          <w:color w:val="000000" w:themeColor="text1"/>
          <w:sz w:val="28"/>
          <w:szCs w:val="28"/>
          <w14:textFill>
            <w14:solidFill>
              <w14:schemeClr w14:val="tx1"/>
            </w14:solidFill>
          </w14:textFill>
        </w:rPr>
        <w:t>在评价单元的划分中，一般按生产工艺功能、生产设施设备相对空间位置、危险有害因素类别及事故范围划分评价单元，使评价单元相对独立，具有明显的特征界限。</w:t>
      </w:r>
    </w:p>
    <w:p w14:paraId="6C2DCCB0">
      <w:pPr>
        <w:widowControl w:val="0"/>
        <w:adjustRightInd w:val="0"/>
        <w:snapToGrid w:val="0"/>
        <w:spacing w:line="360" w:lineRule="auto"/>
        <w:ind w:firstLine="560" w:firstLineChars="200"/>
        <w:textAlignment w:val="center"/>
        <w:rPr>
          <w:rFonts w:ascii="宋体"/>
          <w:snapToGrid w:val="0"/>
          <w:color w:val="000000" w:themeColor="text1"/>
          <w:sz w:val="28"/>
          <w:szCs w:val="28"/>
          <w14:textFill>
            <w14:solidFill>
              <w14:schemeClr w14:val="tx1"/>
            </w14:solidFill>
          </w14:textFill>
        </w:rPr>
      </w:pPr>
      <w:r>
        <w:rPr>
          <w:rFonts w:hint="eastAsia" w:ascii="宋体"/>
          <w:snapToGrid w:val="0"/>
          <w:color w:val="000000" w:themeColor="text1"/>
          <w:sz w:val="28"/>
          <w:szCs w:val="28"/>
          <w14:textFill>
            <w14:solidFill>
              <w14:schemeClr w14:val="tx1"/>
            </w14:solidFill>
          </w14:textFill>
        </w:rPr>
        <w:t>为保证安全评价的顺利实施，根据装置的特点，以自然条件、基本工艺条件、危险有害因素分布及状况、便于实施评价为原则，将该工程（项目）划分为以下六个单元：</w:t>
      </w:r>
    </w:p>
    <w:p w14:paraId="5210758D">
      <w:pPr>
        <w:widowControl w:val="0"/>
        <w:adjustRightInd w:val="0"/>
        <w:snapToGrid w:val="0"/>
        <w:spacing w:line="360" w:lineRule="auto"/>
        <w:ind w:firstLine="560" w:firstLineChars="200"/>
        <w:textAlignment w:val="center"/>
        <w:rPr>
          <w:rFonts w:ascii="宋体"/>
          <w:snapToGrid w:val="0"/>
          <w:color w:val="000000" w:themeColor="text1"/>
          <w:sz w:val="28"/>
          <w:szCs w:val="28"/>
          <w14:textFill>
            <w14:solidFill>
              <w14:schemeClr w14:val="tx1"/>
            </w14:solidFill>
          </w14:textFill>
        </w:rPr>
      </w:pPr>
      <w:r>
        <w:rPr>
          <w:rFonts w:hint="eastAsia" w:ascii="宋体"/>
          <w:snapToGrid w:val="0"/>
          <w:color w:val="000000" w:themeColor="text1"/>
          <w:sz w:val="28"/>
          <w:szCs w:val="28"/>
          <w14:textFill>
            <w14:solidFill>
              <w14:schemeClr w14:val="tx1"/>
            </w14:solidFill>
          </w14:textFill>
        </w:rPr>
        <w:t>1、厂址选择及总图布置单元；</w:t>
      </w:r>
    </w:p>
    <w:p w14:paraId="60D5E9AB">
      <w:pPr>
        <w:widowControl w:val="0"/>
        <w:adjustRightInd w:val="0"/>
        <w:snapToGrid w:val="0"/>
        <w:spacing w:line="360" w:lineRule="auto"/>
        <w:ind w:firstLine="560" w:firstLineChars="200"/>
        <w:textAlignment w:val="center"/>
        <w:rPr>
          <w:rFonts w:ascii="宋体"/>
          <w:snapToGrid w:val="0"/>
          <w:color w:val="000000" w:themeColor="text1"/>
          <w:sz w:val="28"/>
          <w:szCs w:val="28"/>
          <w14:textFill>
            <w14:solidFill>
              <w14:schemeClr w14:val="tx1"/>
            </w14:solidFill>
          </w14:textFill>
        </w:rPr>
      </w:pPr>
      <w:r>
        <w:rPr>
          <w:rFonts w:hint="eastAsia" w:ascii="宋体"/>
          <w:snapToGrid w:val="0"/>
          <w:color w:val="000000" w:themeColor="text1"/>
          <w:sz w:val="28"/>
          <w:szCs w:val="28"/>
          <w14:textFill>
            <w14:solidFill>
              <w14:schemeClr w14:val="tx1"/>
            </w14:solidFill>
          </w14:textFill>
        </w:rPr>
        <w:t>2、主要设备设施单元；</w:t>
      </w:r>
    </w:p>
    <w:p w14:paraId="33E2655F">
      <w:pPr>
        <w:widowControl w:val="0"/>
        <w:adjustRightInd w:val="0"/>
        <w:snapToGrid w:val="0"/>
        <w:spacing w:line="360" w:lineRule="auto"/>
        <w:ind w:firstLine="560" w:firstLineChars="200"/>
        <w:textAlignment w:val="center"/>
        <w:rPr>
          <w:rFonts w:ascii="宋体"/>
          <w:snapToGrid w:val="0"/>
          <w:color w:val="000000" w:themeColor="text1"/>
          <w:sz w:val="28"/>
          <w:szCs w:val="28"/>
          <w14:textFill>
            <w14:solidFill>
              <w14:schemeClr w14:val="tx1"/>
            </w14:solidFill>
          </w14:textFill>
        </w:rPr>
      </w:pPr>
      <w:r>
        <w:rPr>
          <w:rFonts w:hint="eastAsia" w:ascii="宋体"/>
          <w:snapToGrid w:val="0"/>
          <w:color w:val="000000" w:themeColor="text1"/>
          <w:sz w:val="28"/>
          <w:szCs w:val="28"/>
          <w14:textFill>
            <w14:solidFill>
              <w14:schemeClr w14:val="tx1"/>
            </w14:solidFill>
          </w14:textFill>
        </w:rPr>
        <w:t>3、公用工程单元；</w:t>
      </w:r>
    </w:p>
    <w:p w14:paraId="227E944A">
      <w:pPr>
        <w:widowControl w:val="0"/>
        <w:adjustRightInd w:val="0"/>
        <w:snapToGrid w:val="0"/>
        <w:spacing w:line="360" w:lineRule="auto"/>
        <w:ind w:firstLine="560" w:firstLineChars="200"/>
        <w:textAlignment w:val="center"/>
        <w:rPr>
          <w:rFonts w:ascii="宋体"/>
          <w:color w:val="000000" w:themeColor="text1"/>
          <w:spacing w:val="10"/>
          <w:sz w:val="28"/>
          <w:szCs w:val="28"/>
          <w14:textFill>
            <w14:solidFill>
              <w14:schemeClr w14:val="tx1"/>
            </w14:solidFill>
          </w14:textFill>
        </w:rPr>
      </w:pPr>
      <w:r>
        <w:rPr>
          <w:rFonts w:hint="eastAsia" w:ascii="宋体"/>
          <w:snapToGrid w:val="0"/>
          <w:color w:val="000000" w:themeColor="text1"/>
          <w:sz w:val="28"/>
          <w:szCs w:val="28"/>
          <w14:textFill>
            <w14:solidFill>
              <w14:schemeClr w14:val="tx1"/>
            </w14:solidFill>
          </w14:textFill>
        </w:rPr>
        <w:t>4、安全管理单元。</w:t>
      </w:r>
    </w:p>
    <w:p w14:paraId="3C2B222F">
      <w:pPr>
        <w:pStyle w:val="6"/>
        <w:keepNext w:val="0"/>
        <w:adjustRightInd w:val="0"/>
        <w:snapToGrid w:val="0"/>
        <w:spacing w:line="360" w:lineRule="auto"/>
        <w:ind w:right="0"/>
        <w:rPr>
          <w:rStyle w:val="30"/>
          <w:rFonts w:ascii="楷体_GB2312" w:eastAsia="楷体_GB2312"/>
          <w:snapToGrid w:val="0"/>
          <w:color w:val="000000" w:themeColor="text1"/>
          <w:kern w:val="0"/>
          <w:szCs w:val="32"/>
          <w14:textFill>
            <w14:solidFill>
              <w14:schemeClr w14:val="tx1"/>
            </w14:solidFill>
          </w14:textFill>
        </w:rPr>
      </w:pPr>
      <w:bookmarkStart w:id="20" w:name="_Toc10659"/>
      <w:bookmarkStart w:id="21" w:name="_Toc321761914"/>
      <w:r>
        <w:rPr>
          <w:rStyle w:val="30"/>
          <w:rFonts w:hint="eastAsia" w:ascii="楷体_GB2312" w:eastAsia="楷体_GB2312"/>
          <w:snapToGrid w:val="0"/>
          <w:color w:val="000000" w:themeColor="text1"/>
          <w:kern w:val="0"/>
          <w:szCs w:val="32"/>
          <w14:textFill>
            <w14:solidFill>
              <w14:schemeClr w14:val="tx1"/>
            </w14:solidFill>
          </w14:textFill>
        </w:rPr>
        <w:t>第二节 评价方法选择</w:t>
      </w:r>
      <w:bookmarkEnd w:id="20"/>
      <w:bookmarkEnd w:id="21"/>
    </w:p>
    <w:p w14:paraId="06C8A042">
      <w:pPr>
        <w:widowControl w:val="0"/>
        <w:adjustRightInd w:val="0"/>
        <w:snapToGrid w:val="0"/>
        <w:spacing w:line="360" w:lineRule="auto"/>
        <w:ind w:firstLine="560" w:firstLineChars="200"/>
        <w:rPr>
          <w:rFonts w:hint="eastAsia" w:ascii="宋体" w:hAnsi="宋体"/>
          <w:snapToGrid w:val="0"/>
          <w:color w:val="000000" w:themeColor="text1"/>
          <w:sz w:val="28"/>
          <w:szCs w:val="28"/>
          <w14:textFill>
            <w14:solidFill>
              <w14:schemeClr w14:val="tx1"/>
            </w14:solidFill>
          </w14:textFill>
        </w:rPr>
      </w:pPr>
      <w:r>
        <w:rPr>
          <w:rFonts w:hint="eastAsia" w:ascii="宋体" w:hAnsi="宋体"/>
          <w:snapToGrid w:val="0"/>
          <w:color w:val="000000" w:themeColor="text1"/>
          <w:sz w:val="28"/>
          <w:szCs w:val="28"/>
          <w14:textFill>
            <w14:solidFill>
              <w14:schemeClr w14:val="tx1"/>
            </w14:solidFill>
          </w14:textFill>
        </w:rPr>
        <w:t>根据该项目的物质特性、生产工艺和设备、设施等危险有害因素分析情况，确定本次安全评价采用预先危险性分析、安全检查表、危险度等评价方法进行定性、定量评价。</w:t>
      </w:r>
    </w:p>
    <w:p w14:paraId="6B0A9BD1">
      <w:pPr>
        <w:widowControl w:val="0"/>
        <w:adjustRightInd w:val="0"/>
        <w:snapToGrid w:val="0"/>
        <w:spacing w:line="360" w:lineRule="auto"/>
        <w:ind w:firstLine="560" w:firstLineChars="200"/>
        <w:rPr>
          <w:rFonts w:hint="eastAsia" w:ascii="宋体" w:hAnsi="宋体"/>
          <w:snapToGrid w:val="0"/>
          <w:color w:val="000000" w:themeColor="text1"/>
          <w:sz w:val="28"/>
          <w:szCs w:val="28"/>
          <w14:textFill>
            <w14:solidFill>
              <w14:schemeClr w14:val="tx1"/>
            </w14:solidFill>
          </w14:textFill>
        </w:rPr>
      </w:pPr>
      <w:r>
        <w:rPr>
          <w:rFonts w:hint="eastAsia" w:ascii="宋体" w:hAnsi="宋体"/>
          <w:snapToGrid w:val="0"/>
          <w:color w:val="000000" w:themeColor="text1"/>
          <w:sz w:val="28"/>
          <w:szCs w:val="28"/>
          <w14:textFill>
            <w14:solidFill>
              <w14:schemeClr w14:val="tx1"/>
            </w14:solidFill>
          </w14:textFill>
        </w:rPr>
        <w:t>各评价单元所选用的评价方法情况见表4.2-1。</w:t>
      </w:r>
    </w:p>
    <w:p w14:paraId="3AB7E535">
      <w:pPr>
        <w:pStyle w:val="31"/>
        <w:spacing w:line="360" w:lineRule="auto"/>
        <w:rPr>
          <w:rFonts w:hint="eastAsia"/>
          <w:color w:val="000000" w:themeColor="text1"/>
          <w14:textFill>
            <w14:solidFill>
              <w14:schemeClr w14:val="tx1"/>
            </w14:solidFill>
          </w14:textFill>
        </w:rPr>
      </w:pPr>
      <w:r>
        <w:rPr>
          <w:rFonts w:hint="eastAsia"/>
          <w:b w:val="0"/>
          <w:bCs/>
          <w:color w:val="000000" w:themeColor="text1"/>
          <w14:textFill>
            <w14:solidFill>
              <w14:schemeClr w14:val="tx1"/>
            </w14:solidFill>
          </w14:textFill>
        </w:rPr>
        <w:t>表4.2-1  评价单元与选用评价方法对应表</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57" w:type="dxa"/>
          <w:left w:w="57" w:type="dxa"/>
          <w:bottom w:w="57" w:type="dxa"/>
          <w:right w:w="57" w:type="dxa"/>
        </w:tblCellMar>
      </w:tblPr>
      <w:tblGrid>
        <w:gridCol w:w="690"/>
        <w:gridCol w:w="2512"/>
        <w:gridCol w:w="2017"/>
        <w:gridCol w:w="3967"/>
      </w:tblGrid>
      <w:tr w14:paraId="2C081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3" w:hRule="atLeast"/>
          <w:jc w:val="center"/>
        </w:trPr>
        <w:tc>
          <w:tcPr>
            <w:tcW w:w="691" w:type="dxa"/>
            <w:vAlign w:val="center"/>
          </w:tcPr>
          <w:p w14:paraId="5E8C3F43">
            <w:pPr>
              <w:widowControl w:val="0"/>
              <w:adjustRightInd w:val="0"/>
              <w:snapToGrid w:val="0"/>
              <w:spacing w:line="240" w:lineRule="auto"/>
              <w:jc w:val="center"/>
              <w:rPr>
                <w:rFonts w:hint="eastAsia" w:ascii="宋体" w:hAnsi="宋体" w:cs="宋体"/>
                <w:b/>
                <w:snapToGrid w:val="0"/>
                <w:szCs w:val="21"/>
              </w:rPr>
            </w:pPr>
            <w:r>
              <w:rPr>
                <w:rFonts w:hint="eastAsia" w:ascii="宋体" w:hAnsi="宋体" w:cs="宋体"/>
                <w:b/>
                <w:snapToGrid w:val="0"/>
                <w:szCs w:val="21"/>
              </w:rPr>
              <w:t>序号</w:t>
            </w:r>
          </w:p>
        </w:tc>
        <w:tc>
          <w:tcPr>
            <w:tcW w:w="2516" w:type="dxa"/>
            <w:vAlign w:val="center"/>
          </w:tcPr>
          <w:p w14:paraId="04D11D30">
            <w:pPr>
              <w:widowControl w:val="0"/>
              <w:adjustRightInd w:val="0"/>
              <w:snapToGrid w:val="0"/>
              <w:spacing w:line="240" w:lineRule="auto"/>
              <w:rPr>
                <w:rFonts w:hint="eastAsia" w:ascii="宋体" w:hAnsi="宋体" w:cs="宋体"/>
                <w:b/>
                <w:snapToGrid w:val="0"/>
                <w:szCs w:val="21"/>
              </w:rPr>
            </w:pPr>
            <w:r>
              <w:rPr>
                <w:rFonts w:hint="eastAsia" w:ascii="宋体" w:hAnsi="宋体" w:cs="宋体"/>
                <w:b/>
                <w:snapToGrid w:val="0"/>
                <w:szCs w:val="21"/>
              </w:rPr>
              <w:t>评价单元</w:t>
            </w:r>
          </w:p>
        </w:tc>
        <w:tc>
          <w:tcPr>
            <w:tcW w:w="2020" w:type="dxa"/>
            <w:vAlign w:val="center"/>
          </w:tcPr>
          <w:p w14:paraId="12ECD9C1">
            <w:pPr>
              <w:widowControl w:val="0"/>
              <w:adjustRightInd w:val="0"/>
              <w:snapToGrid w:val="0"/>
              <w:spacing w:line="240" w:lineRule="auto"/>
              <w:jc w:val="center"/>
              <w:rPr>
                <w:rFonts w:hint="eastAsia" w:ascii="宋体" w:hAnsi="宋体" w:cs="宋体"/>
                <w:b/>
                <w:snapToGrid w:val="0"/>
                <w:szCs w:val="21"/>
              </w:rPr>
            </w:pPr>
            <w:r>
              <w:rPr>
                <w:rFonts w:hint="eastAsia" w:ascii="宋体" w:hAnsi="宋体" w:cs="宋体"/>
                <w:b/>
                <w:snapToGrid w:val="0"/>
                <w:szCs w:val="21"/>
              </w:rPr>
              <w:t>评价方法</w:t>
            </w:r>
          </w:p>
        </w:tc>
        <w:tc>
          <w:tcPr>
            <w:tcW w:w="3972" w:type="dxa"/>
            <w:vAlign w:val="center"/>
          </w:tcPr>
          <w:p w14:paraId="25C3FE4B">
            <w:pPr>
              <w:widowControl w:val="0"/>
              <w:adjustRightInd w:val="0"/>
              <w:snapToGrid w:val="0"/>
              <w:spacing w:line="240" w:lineRule="auto"/>
              <w:rPr>
                <w:rFonts w:hint="eastAsia" w:ascii="宋体" w:hAnsi="宋体" w:cs="宋体"/>
                <w:b/>
                <w:snapToGrid w:val="0"/>
                <w:szCs w:val="21"/>
              </w:rPr>
            </w:pPr>
            <w:r>
              <w:rPr>
                <w:rFonts w:hint="eastAsia" w:ascii="宋体" w:hAnsi="宋体" w:cs="宋体"/>
                <w:b/>
                <w:snapToGrid w:val="0"/>
                <w:szCs w:val="21"/>
              </w:rPr>
              <w:t>选用说明</w:t>
            </w:r>
          </w:p>
        </w:tc>
      </w:tr>
      <w:tr w14:paraId="2E2DF3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3" w:hRule="atLeast"/>
          <w:jc w:val="center"/>
        </w:trPr>
        <w:tc>
          <w:tcPr>
            <w:tcW w:w="691" w:type="dxa"/>
            <w:vAlign w:val="center"/>
          </w:tcPr>
          <w:p w14:paraId="6111C482">
            <w:pPr>
              <w:widowControl w:val="0"/>
              <w:adjustRightInd w:val="0"/>
              <w:snapToGrid w:val="0"/>
              <w:spacing w:line="240" w:lineRule="auto"/>
              <w:jc w:val="center"/>
              <w:rPr>
                <w:rFonts w:hint="eastAsia" w:ascii="宋体" w:hAnsi="宋体" w:cs="宋体"/>
                <w:snapToGrid w:val="0"/>
                <w:szCs w:val="21"/>
              </w:rPr>
            </w:pPr>
            <w:r>
              <w:rPr>
                <w:rFonts w:hint="eastAsia" w:ascii="宋体" w:hAnsi="宋体" w:cs="宋体"/>
                <w:snapToGrid w:val="0"/>
                <w:szCs w:val="21"/>
              </w:rPr>
              <w:t>1</w:t>
            </w:r>
          </w:p>
        </w:tc>
        <w:tc>
          <w:tcPr>
            <w:tcW w:w="2516" w:type="dxa"/>
            <w:vAlign w:val="center"/>
          </w:tcPr>
          <w:p w14:paraId="089FFD3D">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厂址选择及总图布置单元</w:t>
            </w:r>
          </w:p>
        </w:tc>
        <w:tc>
          <w:tcPr>
            <w:tcW w:w="2020" w:type="dxa"/>
            <w:vAlign w:val="center"/>
          </w:tcPr>
          <w:p w14:paraId="1DF21634">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安全检查表</w:t>
            </w:r>
          </w:p>
        </w:tc>
        <w:tc>
          <w:tcPr>
            <w:tcW w:w="3972" w:type="dxa"/>
            <w:vAlign w:val="center"/>
          </w:tcPr>
          <w:p w14:paraId="28F06ABE">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检查项目的选址、外部周边环境、特种设备、法定检验等是否符合规范要求</w:t>
            </w:r>
          </w:p>
        </w:tc>
      </w:tr>
      <w:tr w14:paraId="390506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3" w:hRule="atLeast"/>
          <w:jc w:val="center"/>
        </w:trPr>
        <w:tc>
          <w:tcPr>
            <w:tcW w:w="691" w:type="dxa"/>
            <w:vMerge w:val="restart"/>
            <w:vAlign w:val="center"/>
          </w:tcPr>
          <w:p w14:paraId="15A7D072">
            <w:pPr>
              <w:widowControl w:val="0"/>
              <w:adjustRightInd w:val="0"/>
              <w:snapToGrid w:val="0"/>
              <w:spacing w:line="240" w:lineRule="auto"/>
              <w:jc w:val="center"/>
              <w:rPr>
                <w:rFonts w:hint="eastAsia" w:ascii="宋体" w:hAnsi="宋体" w:cs="宋体"/>
                <w:snapToGrid w:val="0"/>
                <w:szCs w:val="21"/>
              </w:rPr>
            </w:pPr>
            <w:r>
              <w:rPr>
                <w:rFonts w:hint="eastAsia" w:ascii="宋体" w:hAnsi="宋体" w:cs="宋体"/>
                <w:snapToGrid w:val="0"/>
                <w:szCs w:val="21"/>
              </w:rPr>
              <w:t>2</w:t>
            </w:r>
          </w:p>
        </w:tc>
        <w:tc>
          <w:tcPr>
            <w:tcW w:w="2516" w:type="dxa"/>
            <w:vMerge w:val="restart"/>
            <w:vAlign w:val="center"/>
          </w:tcPr>
          <w:p w14:paraId="0AFBFBEA">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主要设备设施单元</w:t>
            </w:r>
          </w:p>
        </w:tc>
        <w:tc>
          <w:tcPr>
            <w:tcW w:w="2020" w:type="dxa"/>
            <w:vAlign w:val="center"/>
          </w:tcPr>
          <w:p w14:paraId="0064194C">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安全检查表</w:t>
            </w:r>
          </w:p>
        </w:tc>
        <w:tc>
          <w:tcPr>
            <w:tcW w:w="3972" w:type="dxa"/>
            <w:vAlign w:val="center"/>
          </w:tcPr>
          <w:p w14:paraId="40345BC2">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检查项目采用的工艺和设备是否安全可靠</w:t>
            </w:r>
          </w:p>
        </w:tc>
      </w:tr>
      <w:tr w14:paraId="1F65F7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3" w:hRule="atLeast"/>
          <w:jc w:val="center"/>
        </w:trPr>
        <w:tc>
          <w:tcPr>
            <w:tcW w:w="691" w:type="dxa"/>
            <w:vMerge w:val="continue"/>
            <w:vAlign w:val="center"/>
          </w:tcPr>
          <w:p w14:paraId="21FE45FC">
            <w:pPr>
              <w:widowControl w:val="0"/>
              <w:adjustRightInd w:val="0"/>
              <w:snapToGrid w:val="0"/>
              <w:spacing w:line="240" w:lineRule="auto"/>
              <w:jc w:val="center"/>
              <w:rPr>
                <w:rFonts w:hint="eastAsia" w:ascii="宋体" w:hAnsi="宋体" w:cs="宋体"/>
                <w:snapToGrid w:val="0"/>
                <w:szCs w:val="21"/>
              </w:rPr>
            </w:pPr>
          </w:p>
        </w:tc>
        <w:tc>
          <w:tcPr>
            <w:tcW w:w="2516" w:type="dxa"/>
            <w:vMerge w:val="continue"/>
            <w:vAlign w:val="center"/>
          </w:tcPr>
          <w:p w14:paraId="30FBA218">
            <w:pPr>
              <w:widowControl w:val="0"/>
              <w:adjustRightInd w:val="0"/>
              <w:snapToGrid w:val="0"/>
              <w:spacing w:line="240" w:lineRule="auto"/>
              <w:rPr>
                <w:rFonts w:hint="eastAsia" w:ascii="宋体" w:hAnsi="宋体" w:cs="宋体"/>
                <w:snapToGrid w:val="0"/>
                <w:szCs w:val="21"/>
              </w:rPr>
            </w:pPr>
          </w:p>
        </w:tc>
        <w:tc>
          <w:tcPr>
            <w:tcW w:w="2020" w:type="dxa"/>
            <w:vAlign w:val="center"/>
          </w:tcPr>
          <w:p w14:paraId="258DE52A">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预先危险分析</w:t>
            </w:r>
          </w:p>
        </w:tc>
        <w:tc>
          <w:tcPr>
            <w:tcW w:w="3972" w:type="dxa"/>
            <w:vAlign w:val="center"/>
          </w:tcPr>
          <w:p w14:paraId="49A8E5F3">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辨识主要装置设施中存在的危险有害因素，鉴别事故原因，确定事故后果等级，提出对策措施。</w:t>
            </w:r>
          </w:p>
        </w:tc>
      </w:tr>
      <w:tr w14:paraId="73C81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3" w:hRule="atLeast"/>
          <w:jc w:val="center"/>
        </w:trPr>
        <w:tc>
          <w:tcPr>
            <w:tcW w:w="691" w:type="dxa"/>
            <w:vMerge w:val="continue"/>
            <w:vAlign w:val="center"/>
          </w:tcPr>
          <w:p w14:paraId="3D16641D">
            <w:pPr>
              <w:widowControl w:val="0"/>
              <w:adjustRightInd w:val="0"/>
              <w:snapToGrid w:val="0"/>
              <w:spacing w:line="240" w:lineRule="auto"/>
              <w:jc w:val="center"/>
              <w:rPr>
                <w:rFonts w:hint="eastAsia" w:ascii="宋体" w:hAnsi="宋体" w:cs="宋体"/>
                <w:snapToGrid w:val="0"/>
                <w:szCs w:val="21"/>
              </w:rPr>
            </w:pPr>
          </w:p>
        </w:tc>
        <w:tc>
          <w:tcPr>
            <w:tcW w:w="2516" w:type="dxa"/>
            <w:vMerge w:val="continue"/>
            <w:vAlign w:val="center"/>
          </w:tcPr>
          <w:p w14:paraId="5B931B53">
            <w:pPr>
              <w:widowControl w:val="0"/>
              <w:adjustRightInd w:val="0"/>
              <w:snapToGrid w:val="0"/>
              <w:spacing w:line="240" w:lineRule="auto"/>
              <w:rPr>
                <w:rFonts w:hint="eastAsia" w:ascii="宋体" w:hAnsi="宋体" w:cs="宋体"/>
                <w:snapToGrid w:val="0"/>
                <w:szCs w:val="21"/>
              </w:rPr>
            </w:pPr>
          </w:p>
        </w:tc>
        <w:tc>
          <w:tcPr>
            <w:tcW w:w="2020" w:type="dxa"/>
            <w:vAlign w:val="center"/>
          </w:tcPr>
          <w:p w14:paraId="30910A51">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危险度评价</w:t>
            </w:r>
          </w:p>
        </w:tc>
        <w:tc>
          <w:tcPr>
            <w:tcW w:w="3972" w:type="dxa"/>
            <w:vAlign w:val="center"/>
          </w:tcPr>
          <w:p w14:paraId="0F00D01D">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分析主要装置设施的固有危险程度。</w:t>
            </w:r>
          </w:p>
        </w:tc>
      </w:tr>
      <w:tr w14:paraId="790353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3" w:hRule="atLeast"/>
          <w:jc w:val="center"/>
        </w:trPr>
        <w:tc>
          <w:tcPr>
            <w:tcW w:w="691" w:type="dxa"/>
            <w:vMerge w:val="restart"/>
            <w:vAlign w:val="center"/>
          </w:tcPr>
          <w:p w14:paraId="746A24BA">
            <w:pPr>
              <w:widowControl w:val="0"/>
              <w:adjustRightInd w:val="0"/>
              <w:snapToGrid w:val="0"/>
              <w:spacing w:line="240" w:lineRule="auto"/>
              <w:jc w:val="center"/>
              <w:rPr>
                <w:rFonts w:hint="eastAsia" w:ascii="宋体" w:hAnsi="宋体" w:cs="宋体"/>
                <w:snapToGrid w:val="0"/>
                <w:szCs w:val="21"/>
              </w:rPr>
            </w:pPr>
            <w:r>
              <w:rPr>
                <w:rFonts w:hint="eastAsia" w:ascii="宋体" w:hAnsi="宋体" w:cs="宋体"/>
                <w:snapToGrid w:val="0"/>
                <w:szCs w:val="21"/>
              </w:rPr>
              <w:t>3</w:t>
            </w:r>
          </w:p>
        </w:tc>
        <w:tc>
          <w:tcPr>
            <w:tcW w:w="2516" w:type="dxa"/>
            <w:vMerge w:val="restart"/>
            <w:vAlign w:val="center"/>
          </w:tcPr>
          <w:p w14:paraId="569EEE3C">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公用工程单元</w:t>
            </w:r>
          </w:p>
        </w:tc>
        <w:tc>
          <w:tcPr>
            <w:tcW w:w="2020" w:type="dxa"/>
            <w:vAlign w:val="center"/>
          </w:tcPr>
          <w:p w14:paraId="7123F948">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安全检查表</w:t>
            </w:r>
          </w:p>
        </w:tc>
        <w:tc>
          <w:tcPr>
            <w:tcW w:w="3972" w:type="dxa"/>
            <w:vAlign w:val="center"/>
          </w:tcPr>
          <w:p w14:paraId="01EB7C20">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检查企业的物料、产品的性质、包装等是否符合规范要求</w:t>
            </w:r>
          </w:p>
        </w:tc>
      </w:tr>
      <w:tr w14:paraId="547FCC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3" w:hRule="atLeast"/>
          <w:jc w:val="center"/>
        </w:trPr>
        <w:tc>
          <w:tcPr>
            <w:tcW w:w="691" w:type="dxa"/>
            <w:vMerge w:val="continue"/>
            <w:vAlign w:val="center"/>
          </w:tcPr>
          <w:p w14:paraId="055A5967">
            <w:pPr>
              <w:widowControl w:val="0"/>
              <w:adjustRightInd w:val="0"/>
              <w:snapToGrid w:val="0"/>
              <w:spacing w:line="240" w:lineRule="auto"/>
              <w:jc w:val="center"/>
              <w:rPr>
                <w:rFonts w:hint="eastAsia" w:ascii="宋体" w:hAnsi="宋体" w:cs="宋体"/>
                <w:snapToGrid w:val="0"/>
                <w:szCs w:val="21"/>
              </w:rPr>
            </w:pPr>
          </w:p>
        </w:tc>
        <w:tc>
          <w:tcPr>
            <w:tcW w:w="2516" w:type="dxa"/>
            <w:vMerge w:val="continue"/>
            <w:vAlign w:val="center"/>
          </w:tcPr>
          <w:p w14:paraId="0B32EA48">
            <w:pPr>
              <w:widowControl w:val="0"/>
              <w:adjustRightInd w:val="0"/>
              <w:snapToGrid w:val="0"/>
              <w:spacing w:line="240" w:lineRule="auto"/>
              <w:rPr>
                <w:rFonts w:hint="eastAsia" w:ascii="宋体" w:hAnsi="宋体" w:cs="宋体"/>
                <w:snapToGrid w:val="0"/>
                <w:szCs w:val="21"/>
              </w:rPr>
            </w:pPr>
          </w:p>
        </w:tc>
        <w:tc>
          <w:tcPr>
            <w:tcW w:w="2020" w:type="dxa"/>
            <w:vAlign w:val="center"/>
          </w:tcPr>
          <w:p w14:paraId="66AE22EA">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预先危险分析</w:t>
            </w:r>
          </w:p>
        </w:tc>
        <w:tc>
          <w:tcPr>
            <w:tcW w:w="3972" w:type="dxa"/>
            <w:vAlign w:val="center"/>
          </w:tcPr>
          <w:p w14:paraId="3BBD282F">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辨识公用工程及辅助设施中存在的危险有害因素，鉴别事故原因，确定事故后果等级，提出对策措施。</w:t>
            </w:r>
          </w:p>
        </w:tc>
      </w:tr>
      <w:tr w14:paraId="61CF00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3" w:hRule="atLeast"/>
          <w:jc w:val="center"/>
        </w:trPr>
        <w:tc>
          <w:tcPr>
            <w:tcW w:w="691" w:type="dxa"/>
            <w:vAlign w:val="center"/>
          </w:tcPr>
          <w:p w14:paraId="2AFE28F3">
            <w:pPr>
              <w:widowControl w:val="0"/>
              <w:adjustRightInd w:val="0"/>
              <w:snapToGrid w:val="0"/>
              <w:spacing w:line="240" w:lineRule="auto"/>
              <w:jc w:val="center"/>
              <w:rPr>
                <w:rFonts w:hint="eastAsia" w:ascii="宋体" w:hAnsi="宋体" w:cs="宋体"/>
                <w:snapToGrid w:val="0"/>
                <w:szCs w:val="21"/>
              </w:rPr>
            </w:pPr>
            <w:r>
              <w:rPr>
                <w:rFonts w:hint="eastAsia" w:ascii="宋体" w:hAnsi="宋体" w:cs="宋体"/>
                <w:snapToGrid w:val="0"/>
                <w:szCs w:val="21"/>
              </w:rPr>
              <w:t>4</w:t>
            </w:r>
          </w:p>
        </w:tc>
        <w:tc>
          <w:tcPr>
            <w:tcW w:w="2516" w:type="dxa"/>
            <w:vAlign w:val="center"/>
          </w:tcPr>
          <w:p w14:paraId="59ADA765">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安全管理单元</w:t>
            </w:r>
          </w:p>
        </w:tc>
        <w:tc>
          <w:tcPr>
            <w:tcW w:w="2020" w:type="dxa"/>
            <w:vAlign w:val="center"/>
          </w:tcPr>
          <w:p w14:paraId="7E31E47C">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安全检查表</w:t>
            </w:r>
          </w:p>
        </w:tc>
        <w:tc>
          <w:tcPr>
            <w:tcW w:w="3972" w:type="dxa"/>
            <w:vAlign w:val="center"/>
          </w:tcPr>
          <w:p w14:paraId="21400CAF">
            <w:pPr>
              <w:widowControl w:val="0"/>
              <w:adjustRightInd w:val="0"/>
              <w:snapToGrid w:val="0"/>
              <w:spacing w:line="240" w:lineRule="auto"/>
              <w:rPr>
                <w:rFonts w:hint="eastAsia" w:ascii="宋体" w:hAnsi="宋体" w:cs="宋体"/>
                <w:snapToGrid w:val="0"/>
                <w:szCs w:val="21"/>
              </w:rPr>
            </w:pPr>
            <w:r>
              <w:rPr>
                <w:rFonts w:hint="eastAsia" w:ascii="宋体" w:hAnsi="宋体" w:cs="宋体"/>
                <w:snapToGrid w:val="0"/>
                <w:szCs w:val="21"/>
              </w:rPr>
              <w:t>检查现有安全管理能否满足安全生产要求。</w:t>
            </w:r>
          </w:p>
        </w:tc>
      </w:tr>
    </w:tbl>
    <w:p w14:paraId="4D892009">
      <w:pPr>
        <w:rPr>
          <w:rFonts w:eastAsia="黑体"/>
          <w:kern w:val="2"/>
          <w:sz w:val="32"/>
          <w:szCs w:val="21"/>
        </w:rPr>
      </w:pPr>
      <w:r>
        <w:rPr>
          <w:rFonts w:eastAsia="黑体"/>
          <w:kern w:val="2"/>
          <w:sz w:val="32"/>
          <w:szCs w:val="21"/>
        </w:rPr>
        <w:br w:type="page"/>
      </w:r>
    </w:p>
    <w:bookmarkEnd w:id="12"/>
    <w:bookmarkEnd w:id="13"/>
    <w:bookmarkEnd w:id="14"/>
    <w:bookmarkEnd w:id="15"/>
    <w:bookmarkEnd w:id="16"/>
    <w:bookmarkEnd w:id="17"/>
    <w:p w14:paraId="79E35A69">
      <w:pPr>
        <w:pStyle w:val="4"/>
        <w:keepNext w:val="0"/>
        <w:adjustRightInd w:val="0"/>
        <w:snapToGrid w:val="0"/>
        <w:spacing w:line="360" w:lineRule="auto"/>
        <w:rPr>
          <w:rFonts w:ascii="黑体" w:eastAsia="黑体"/>
          <w:snapToGrid w:val="0"/>
          <w:color w:val="000000" w:themeColor="text1"/>
          <w:spacing w:val="0"/>
          <w:kern w:val="0"/>
          <w:sz w:val="32"/>
          <w:szCs w:val="32"/>
          <w14:textFill>
            <w14:solidFill>
              <w14:schemeClr w14:val="tx1"/>
            </w14:solidFill>
          </w14:textFill>
        </w:rPr>
      </w:pPr>
      <w:bookmarkStart w:id="22" w:name="_Toc5793"/>
      <w:r>
        <w:rPr>
          <w:rFonts w:hint="eastAsia" w:ascii="黑体" w:eastAsia="黑体"/>
          <w:snapToGrid w:val="0"/>
          <w:color w:val="000000" w:themeColor="text1"/>
          <w:spacing w:val="0"/>
          <w:kern w:val="0"/>
          <w:sz w:val="32"/>
          <w:szCs w:val="32"/>
          <w14:textFill>
            <w14:solidFill>
              <w14:schemeClr w14:val="tx1"/>
            </w14:solidFill>
          </w14:textFill>
        </w:rPr>
        <w:t>第七章 对策措施及建议</w:t>
      </w:r>
      <w:bookmarkEnd w:id="22"/>
    </w:p>
    <w:p w14:paraId="47A6A44A">
      <w:pPr>
        <w:pStyle w:val="6"/>
        <w:keepNext w:val="0"/>
        <w:adjustRightInd w:val="0"/>
        <w:snapToGrid w:val="0"/>
        <w:spacing w:before="240" w:beforeLines="100" w:line="360" w:lineRule="auto"/>
        <w:ind w:right="0"/>
        <w:rPr>
          <w:rStyle w:val="30"/>
          <w:rFonts w:ascii="楷体_GB2312" w:eastAsia="楷体_GB2312"/>
          <w:snapToGrid w:val="0"/>
          <w:color w:val="000000" w:themeColor="text1"/>
          <w:kern w:val="0"/>
          <w14:textFill>
            <w14:solidFill>
              <w14:schemeClr w14:val="tx1"/>
            </w14:solidFill>
          </w14:textFill>
        </w:rPr>
      </w:pPr>
      <w:bookmarkStart w:id="23" w:name="_Toc10177"/>
      <w:r>
        <w:rPr>
          <w:rStyle w:val="30"/>
          <w:rFonts w:hint="eastAsia" w:ascii="楷体_GB2312" w:eastAsia="楷体_GB2312"/>
          <w:snapToGrid w:val="0"/>
          <w:color w:val="000000" w:themeColor="text1"/>
          <w:kern w:val="0"/>
          <w14:textFill>
            <w14:solidFill>
              <w14:schemeClr w14:val="tx1"/>
            </w14:solidFill>
          </w14:textFill>
        </w:rPr>
        <w:t>第一节  存在问题及整改建议</w:t>
      </w:r>
      <w:bookmarkEnd w:id="23"/>
    </w:p>
    <w:p w14:paraId="6F9DC8E7">
      <w:pPr>
        <w:widowControl w:val="0"/>
        <w:adjustRightInd w:val="0"/>
        <w:snapToGrid w:val="0"/>
        <w:spacing w:line="360" w:lineRule="auto"/>
        <w:ind w:firstLine="560" w:firstLineChars="200"/>
        <w:textAlignment w:val="auto"/>
        <w:rPr>
          <w:rFonts w:hint="eastAsia" w:ascii="宋体" w:hAnsi="宋体"/>
          <w:snapToGrid w:val="0"/>
          <w:color w:val="000000" w:themeColor="text1"/>
          <w:sz w:val="28"/>
          <w:szCs w:val="28"/>
          <w14:textFill>
            <w14:solidFill>
              <w14:schemeClr w14:val="tx1"/>
            </w14:solidFill>
          </w14:textFill>
        </w:rPr>
      </w:pPr>
      <w:r>
        <w:rPr>
          <w:rFonts w:hint="eastAsia" w:ascii="宋体" w:hAnsi="宋体"/>
          <w:snapToGrid w:val="0"/>
          <w:color w:val="000000" w:themeColor="text1"/>
          <w:sz w:val="28"/>
          <w:szCs w:val="28"/>
          <w14:textFill>
            <w14:solidFill>
              <w14:schemeClr w14:val="tx1"/>
            </w14:solidFill>
          </w14:textFill>
        </w:rPr>
        <w:t>本次安全评价过程中，</w:t>
      </w:r>
      <w:r>
        <w:rPr>
          <w:rFonts w:ascii="宋体" w:hAnsi="宋体"/>
          <w:snapToGrid w:val="0"/>
          <w:color w:val="000000" w:themeColor="text1"/>
          <w:sz w:val="28"/>
          <w:szCs w:val="28"/>
          <w14:textFill>
            <w14:solidFill>
              <w14:schemeClr w14:val="tx1"/>
            </w14:solidFill>
          </w14:textFill>
        </w:rPr>
        <w:t>通过现场检查和审阅有关资料，发现</w:t>
      </w:r>
      <w:r>
        <w:rPr>
          <w:rFonts w:hint="eastAsia" w:ascii="宋体" w:hAnsi="宋体"/>
          <w:snapToGrid w:val="0"/>
          <w:color w:val="000000" w:themeColor="text1"/>
          <w:sz w:val="28"/>
          <w:szCs w:val="28"/>
          <w14:textFill>
            <w14:solidFill>
              <w14:schemeClr w14:val="tx1"/>
            </w14:solidFill>
          </w14:textFill>
        </w:rPr>
        <w:t>该项目的设备设施、安全管理条件，尚有与</w:t>
      </w:r>
      <w:r>
        <w:rPr>
          <w:rFonts w:ascii="宋体" w:hAnsi="宋体"/>
          <w:snapToGrid w:val="0"/>
          <w:color w:val="000000" w:themeColor="text1"/>
          <w:sz w:val="28"/>
          <w:szCs w:val="28"/>
          <w14:textFill>
            <w14:solidFill>
              <w14:schemeClr w14:val="tx1"/>
            </w14:solidFill>
          </w14:textFill>
        </w:rPr>
        <w:t>有关</w:t>
      </w:r>
      <w:r>
        <w:rPr>
          <w:rFonts w:hint="eastAsia" w:ascii="宋体" w:hAnsi="宋体"/>
          <w:snapToGrid w:val="0"/>
          <w:color w:val="000000" w:themeColor="text1"/>
          <w:sz w:val="28"/>
          <w:szCs w:val="28"/>
          <w14:textFill>
            <w14:solidFill>
              <w14:schemeClr w14:val="tx1"/>
            </w14:solidFill>
          </w14:textFill>
        </w:rPr>
        <w:t>法规、</w:t>
      </w:r>
      <w:r>
        <w:rPr>
          <w:rFonts w:ascii="宋体" w:hAnsi="宋体"/>
          <w:snapToGrid w:val="0"/>
          <w:color w:val="000000" w:themeColor="text1"/>
          <w:sz w:val="28"/>
          <w:szCs w:val="28"/>
          <w14:textFill>
            <w14:solidFill>
              <w14:schemeClr w14:val="tx1"/>
            </w14:solidFill>
          </w14:textFill>
        </w:rPr>
        <w:t>规范</w:t>
      </w:r>
      <w:r>
        <w:rPr>
          <w:rFonts w:hint="eastAsia" w:ascii="宋体" w:hAnsi="宋体"/>
          <w:snapToGrid w:val="0"/>
          <w:color w:val="000000" w:themeColor="text1"/>
          <w:sz w:val="28"/>
          <w:szCs w:val="28"/>
          <w14:textFill>
            <w14:solidFill>
              <w14:schemeClr w14:val="tx1"/>
            </w14:solidFill>
          </w14:textFill>
        </w:rPr>
        <w:t>和标准</w:t>
      </w:r>
      <w:r>
        <w:rPr>
          <w:rFonts w:ascii="宋体" w:hAnsi="宋体"/>
          <w:snapToGrid w:val="0"/>
          <w:color w:val="000000" w:themeColor="text1"/>
          <w:sz w:val="28"/>
          <w:szCs w:val="28"/>
          <w14:textFill>
            <w14:solidFill>
              <w14:schemeClr w14:val="tx1"/>
            </w14:solidFill>
          </w14:textFill>
        </w:rPr>
        <w:t>的要求存在差距</w:t>
      </w:r>
      <w:r>
        <w:rPr>
          <w:rFonts w:hint="eastAsia" w:ascii="宋体" w:hAnsi="宋体"/>
          <w:snapToGrid w:val="0"/>
          <w:color w:val="000000" w:themeColor="text1"/>
          <w:sz w:val="28"/>
          <w:szCs w:val="28"/>
          <w14:textFill>
            <w14:solidFill>
              <w14:schemeClr w14:val="tx1"/>
            </w14:solidFill>
          </w14:textFill>
        </w:rPr>
        <w:t>之处，企业应该按照有关规定、规范和标准的要求对存在的问题进行整改。存在的问题、建议整改措施</w:t>
      </w:r>
      <w:r>
        <w:rPr>
          <w:rFonts w:ascii="宋体" w:hAnsi="宋体"/>
          <w:snapToGrid w:val="0"/>
          <w:color w:val="000000" w:themeColor="text1"/>
          <w:sz w:val="28"/>
          <w:szCs w:val="28"/>
          <w14:textFill>
            <w14:solidFill>
              <w14:schemeClr w14:val="tx1"/>
            </w14:solidFill>
          </w14:textFill>
        </w:rPr>
        <w:t>如</w:t>
      </w:r>
      <w:r>
        <w:rPr>
          <w:rFonts w:hint="eastAsia" w:ascii="宋体" w:hAnsi="宋体"/>
          <w:snapToGrid w:val="0"/>
          <w:color w:val="000000" w:themeColor="text1"/>
          <w:sz w:val="28"/>
          <w:szCs w:val="28"/>
          <w14:textFill>
            <w14:solidFill>
              <w14:schemeClr w14:val="tx1"/>
            </w14:solidFill>
          </w14:textFill>
        </w:rPr>
        <w:t>表7.1-1。</w:t>
      </w:r>
    </w:p>
    <w:p w14:paraId="3AE93C34">
      <w:pPr>
        <w:pStyle w:val="31"/>
        <w:spacing w:line="360" w:lineRule="auto"/>
        <w:rPr>
          <w:rFonts w:hint="eastAsia"/>
          <w:color w:val="000000" w:themeColor="text1"/>
          <w14:textFill>
            <w14:solidFill>
              <w14:schemeClr w14:val="tx1"/>
            </w14:solidFill>
          </w14:textFill>
        </w:rPr>
      </w:pPr>
      <w:r>
        <w:rPr>
          <w:rFonts w:hint="eastAsia"/>
          <w:b w:val="0"/>
          <w:bCs/>
          <w:color w:val="000000" w:themeColor="text1"/>
          <w14:textFill>
            <w14:solidFill>
              <w14:schemeClr w14:val="tx1"/>
            </w14:solidFill>
          </w14:textFill>
        </w:rPr>
        <w:t>表7.1-1 存在的问题及整改建议一览表</w:t>
      </w:r>
    </w:p>
    <w:tbl>
      <w:tblPr>
        <w:tblStyle w:val="17"/>
        <w:tblW w:w="4997"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57" w:type="dxa"/>
          <w:left w:w="57" w:type="dxa"/>
          <w:bottom w:w="57" w:type="dxa"/>
          <w:right w:w="57" w:type="dxa"/>
        </w:tblCellMar>
      </w:tblPr>
      <w:tblGrid>
        <w:gridCol w:w="472"/>
        <w:gridCol w:w="3470"/>
        <w:gridCol w:w="2619"/>
        <w:gridCol w:w="2619"/>
      </w:tblGrid>
      <w:tr w14:paraId="64969C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57" w:type="dxa"/>
            <w:bottom w:w="57" w:type="dxa"/>
            <w:right w:w="57" w:type="dxa"/>
          </w:tblCellMar>
        </w:tblPrEx>
        <w:trPr>
          <w:trHeight w:val="90" w:hRule="atLeast"/>
          <w:jc w:val="center"/>
        </w:trPr>
        <w:tc>
          <w:tcPr>
            <w:tcW w:w="257" w:type="pct"/>
            <w:tcBorders>
              <w:top w:val="single" w:color="000000" w:sz="12" w:space="0"/>
            </w:tcBorders>
            <w:vAlign w:val="center"/>
          </w:tcPr>
          <w:p w14:paraId="4B6CEEBC">
            <w:pPr>
              <w:widowControl w:val="0"/>
              <w:adjustRightInd w:val="0"/>
              <w:snapToGrid w:val="0"/>
              <w:spacing w:line="240" w:lineRule="auto"/>
              <w:jc w:val="center"/>
              <w:rPr>
                <w:rFonts w:ascii="宋体"/>
                <w:b/>
                <w:bCs/>
                <w:snapToGrid w:val="0"/>
                <w:color w:val="000000" w:themeColor="text1"/>
                <w:szCs w:val="21"/>
                <w14:textFill>
                  <w14:solidFill>
                    <w14:schemeClr w14:val="tx1"/>
                  </w14:solidFill>
                </w14:textFill>
              </w:rPr>
            </w:pPr>
            <w:r>
              <w:rPr>
                <w:rFonts w:hint="eastAsia" w:ascii="宋体" w:hAnsi="宋体" w:cs="宋体"/>
                <w:b/>
                <w:bCs/>
                <w:snapToGrid w:val="0"/>
                <w:color w:val="000000" w:themeColor="text1"/>
                <w:szCs w:val="21"/>
                <w14:textFill>
                  <w14:solidFill>
                    <w14:schemeClr w14:val="tx1"/>
                  </w14:solidFill>
                </w14:textFill>
              </w:rPr>
              <w:t>序号</w:t>
            </w:r>
          </w:p>
        </w:tc>
        <w:tc>
          <w:tcPr>
            <w:tcW w:w="1889" w:type="pct"/>
            <w:tcBorders>
              <w:top w:val="single" w:color="000000" w:sz="12" w:space="0"/>
            </w:tcBorders>
            <w:vAlign w:val="center"/>
          </w:tcPr>
          <w:p w14:paraId="482F3422">
            <w:pPr>
              <w:widowControl w:val="0"/>
              <w:adjustRightInd w:val="0"/>
              <w:snapToGrid w:val="0"/>
              <w:spacing w:line="240" w:lineRule="auto"/>
              <w:jc w:val="center"/>
              <w:rPr>
                <w:rFonts w:ascii="宋体"/>
                <w:b/>
                <w:bCs/>
                <w:snapToGrid w:val="0"/>
                <w:color w:val="000000" w:themeColor="text1"/>
                <w:szCs w:val="21"/>
                <w14:textFill>
                  <w14:solidFill>
                    <w14:schemeClr w14:val="tx1"/>
                  </w14:solidFill>
                </w14:textFill>
              </w:rPr>
            </w:pPr>
            <w:r>
              <w:rPr>
                <w:rFonts w:hint="eastAsia" w:ascii="宋体" w:hAnsi="宋体" w:cs="宋体"/>
                <w:b/>
                <w:bCs/>
                <w:snapToGrid w:val="0"/>
                <w:color w:val="000000" w:themeColor="text1"/>
                <w:szCs w:val="21"/>
                <w14:textFill>
                  <w14:solidFill>
                    <w14:schemeClr w14:val="tx1"/>
                  </w14:solidFill>
                </w14:textFill>
              </w:rPr>
              <w:t>存在的主要问题或隐患</w:t>
            </w:r>
          </w:p>
        </w:tc>
        <w:tc>
          <w:tcPr>
            <w:tcW w:w="1426" w:type="pct"/>
            <w:tcBorders>
              <w:top w:val="single" w:color="000000" w:sz="12" w:space="0"/>
            </w:tcBorders>
            <w:vAlign w:val="center"/>
          </w:tcPr>
          <w:p w14:paraId="219AF814">
            <w:pPr>
              <w:widowControl w:val="0"/>
              <w:adjustRightInd w:val="0"/>
              <w:snapToGrid w:val="0"/>
              <w:spacing w:line="240" w:lineRule="auto"/>
              <w:jc w:val="center"/>
              <w:rPr>
                <w:rFonts w:hint="eastAsia" w:ascii="宋体" w:hAnsi="宋体" w:cs="宋体"/>
                <w:b/>
                <w:bCs/>
                <w:snapToGrid w:val="0"/>
                <w:color w:val="000000" w:themeColor="text1"/>
                <w:szCs w:val="21"/>
                <w14:textFill>
                  <w14:solidFill>
                    <w14:schemeClr w14:val="tx1"/>
                  </w14:solidFill>
                </w14:textFill>
              </w:rPr>
            </w:pPr>
            <w:r>
              <w:rPr>
                <w:rFonts w:hint="eastAsia" w:ascii="宋体" w:hAnsi="宋体" w:cs="宋体"/>
                <w:b/>
                <w:bCs/>
                <w:snapToGrid w:val="0"/>
                <w:color w:val="000000" w:themeColor="text1"/>
                <w:szCs w:val="21"/>
                <w14:textFill>
                  <w14:solidFill>
                    <w14:schemeClr w14:val="tx1"/>
                  </w14:solidFill>
                </w14:textFill>
              </w:rPr>
              <w:t>依据</w:t>
            </w:r>
          </w:p>
        </w:tc>
        <w:tc>
          <w:tcPr>
            <w:tcW w:w="1426" w:type="pct"/>
            <w:tcBorders>
              <w:top w:val="single" w:color="000000" w:sz="12" w:space="0"/>
            </w:tcBorders>
            <w:vAlign w:val="center"/>
          </w:tcPr>
          <w:p w14:paraId="61DD5886">
            <w:pPr>
              <w:widowControl w:val="0"/>
              <w:adjustRightInd w:val="0"/>
              <w:snapToGrid w:val="0"/>
              <w:spacing w:line="240" w:lineRule="auto"/>
              <w:jc w:val="center"/>
              <w:rPr>
                <w:rFonts w:ascii="宋体"/>
                <w:b/>
                <w:bCs/>
                <w:snapToGrid w:val="0"/>
                <w:color w:val="000000" w:themeColor="text1"/>
                <w:szCs w:val="21"/>
                <w14:textFill>
                  <w14:solidFill>
                    <w14:schemeClr w14:val="tx1"/>
                  </w14:solidFill>
                </w14:textFill>
              </w:rPr>
            </w:pPr>
            <w:r>
              <w:rPr>
                <w:rFonts w:hint="eastAsia" w:ascii="宋体" w:hAnsi="宋体" w:cs="宋体"/>
                <w:b/>
                <w:bCs/>
                <w:snapToGrid w:val="0"/>
                <w:color w:val="000000" w:themeColor="text1"/>
                <w:szCs w:val="21"/>
                <w:u w:color="993300"/>
                <w14:textFill>
                  <w14:solidFill>
                    <w14:schemeClr w14:val="tx1"/>
                  </w14:solidFill>
                </w14:textFill>
              </w:rPr>
              <w:t>整改建议措施</w:t>
            </w:r>
          </w:p>
        </w:tc>
      </w:tr>
      <w:tr w14:paraId="604EAC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57" w:type="dxa"/>
            <w:bottom w:w="57" w:type="dxa"/>
            <w:right w:w="57" w:type="dxa"/>
          </w:tblCellMar>
        </w:tblPrEx>
        <w:trPr>
          <w:trHeight w:val="90" w:hRule="atLeast"/>
          <w:jc w:val="center"/>
        </w:trPr>
        <w:tc>
          <w:tcPr>
            <w:tcW w:w="257" w:type="pct"/>
            <w:vAlign w:val="center"/>
          </w:tcPr>
          <w:p w14:paraId="580A3AE7">
            <w:pPr>
              <w:widowControl w:val="0"/>
              <w:adjustRightInd w:val="0"/>
              <w:snapToGrid w:val="0"/>
              <w:spacing w:line="240" w:lineRule="auto"/>
              <w:jc w:val="center"/>
              <w:rPr>
                <w:rFonts w:ascii="宋体"/>
                <w:snapToGrid w:val="0"/>
                <w:color w:val="000000" w:themeColor="text1"/>
                <w:szCs w:val="21"/>
                <w14:textFill>
                  <w14:solidFill>
                    <w14:schemeClr w14:val="tx1"/>
                  </w14:solidFill>
                </w14:textFill>
              </w:rPr>
            </w:pPr>
            <w:r>
              <w:rPr>
                <w:rFonts w:hint="eastAsia" w:ascii="宋体"/>
                <w:snapToGrid w:val="0"/>
                <w:color w:val="000000" w:themeColor="text1"/>
                <w:szCs w:val="21"/>
                <w14:textFill>
                  <w14:solidFill>
                    <w14:schemeClr w14:val="tx1"/>
                  </w14:solidFill>
                </w14:textFill>
              </w:rPr>
              <w:t>1</w:t>
            </w:r>
          </w:p>
        </w:tc>
        <w:tc>
          <w:tcPr>
            <w:tcW w:w="1889" w:type="pct"/>
            <w:vAlign w:val="center"/>
          </w:tcPr>
          <w:p w14:paraId="148FC0B3">
            <w:pPr>
              <w:widowControl w:val="0"/>
              <w:adjustRightInd w:val="0"/>
              <w:snapToGrid w:val="0"/>
              <w:spacing w:line="24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制氧站Ⅱ期部分管道未设介质流向标识；</w:t>
            </w:r>
          </w:p>
        </w:tc>
        <w:tc>
          <w:tcPr>
            <w:tcW w:w="1426" w:type="pct"/>
            <w:vAlign w:val="center"/>
          </w:tcPr>
          <w:p w14:paraId="712D2080">
            <w:pPr>
              <w:widowControl w:val="0"/>
              <w:adjustRightInd w:val="0"/>
              <w:snapToGrid w:val="0"/>
              <w:spacing w:line="240" w:lineRule="auto"/>
              <w:jc w:val="center"/>
            </w:pPr>
            <w:r>
              <w:rPr>
                <w:rFonts w:hint="eastAsia"/>
              </w:rPr>
              <w:t>GB16912-2008</w:t>
            </w:r>
          </w:p>
          <w:p w14:paraId="6010A157">
            <w:pPr>
              <w:widowControl w:val="0"/>
              <w:adjustRightInd w:val="0"/>
              <w:snapToGrid w:val="0"/>
              <w:spacing w:line="240" w:lineRule="auto"/>
              <w:jc w:val="center"/>
              <w:rPr>
                <w:rFonts w:hint="eastAsia" w:ascii="宋体" w:hAnsi="宋体" w:cs="宋体"/>
                <w:color w:val="000000" w:themeColor="text1"/>
                <w:szCs w:val="21"/>
                <w14:textFill>
                  <w14:solidFill>
                    <w14:schemeClr w14:val="tx1"/>
                  </w14:solidFill>
                </w14:textFill>
              </w:rPr>
            </w:pPr>
            <w:r>
              <w:rPr>
                <w:rFonts w:hint="eastAsia"/>
              </w:rPr>
              <w:t>第4.12.2条</w:t>
            </w:r>
          </w:p>
        </w:tc>
        <w:tc>
          <w:tcPr>
            <w:tcW w:w="1426" w:type="pct"/>
            <w:vAlign w:val="center"/>
          </w:tcPr>
          <w:p w14:paraId="6AB3C1CA">
            <w:pPr>
              <w:widowControl w:val="0"/>
              <w:adjustRightInd w:val="0"/>
              <w:snapToGrid w:val="0"/>
              <w:spacing w:line="24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应补充管道介质流向标识；</w:t>
            </w:r>
          </w:p>
        </w:tc>
      </w:tr>
      <w:tr w14:paraId="33893B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57" w:type="dxa"/>
            <w:bottom w:w="57" w:type="dxa"/>
            <w:right w:w="57" w:type="dxa"/>
          </w:tblCellMar>
        </w:tblPrEx>
        <w:trPr>
          <w:trHeight w:val="90" w:hRule="atLeast"/>
          <w:jc w:val="center"/>
        </w:trPr>
        <w:tc>
          <w:tcPr>
            <w:tcW w:w="257" w:type="pct"/>
            <w:vAlign w:val="center"/>
          </w:tcPr>
          <w:p w14:paraId="2BB0DF89">
            <w:pPr>
              <w:widowControl w:val="0"/>
              <w:adjustRightInd w:val="0"/>
              <w:snapToGrid w:val="0"/>
              <w:spacing w:line="240" w:lineRule="auto"/>
              <w:jc w:val="center"/>
              <w:rPr>
                <w:rFonts w:ascii="宋体"/>
                <w:snapToGrid w:val="0"/>
                <w:color w:val="000000" w:themeColor="text1"/>
                <w:szCs w:val="21"/>
                <w14:textFill>
                  <w14:solidFill>
                    <w14:schemeClr w14:val="tx1"/>
                  </w14:solidFill>
                </w14:textFill>
              </w:rPr>
            </w:pPr>
            <w:r>
              <w:rPr>
                <w:rFonts w:hint="eastAsia" w:ascii="宋体"/>
                <w:snapToGrid w:val="0"/>
                <w:color w:val="000000" w:themeColor="text1"/>
                <w:szCs w:val="21"/>
                <w14:textFill>
                  <w14:solidFill>
                    <w14:schemeClr w14:val="tx1"/>
                  </w14:solidFill>
                </w14:textFill>
              </w:rPr>
              <w:t>2</w:t>
            </w:r>
          </w:p>
        </w:tc>
        <w:tc>
          <w:tcPr>
            <w:tcW w:w="1889" w:type="pct"/>
            <w:vAlign w:val="center"/>
          </w:tcPr>
          <w:p w14:paraId="4DA14C24">
            <w:pPr>
              <w:widowControl w:val="0"/>
              <w:adjustRightInd w:val="0"/>
              <w:snapToGrid w:val="0"/>
              <w:spacing w:line="24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制氧站</w:t>
            </w:r>
            <w:r>
              <w:rPr>
                <w:rFonts w:hint="eastAsia" w:ascii="宋体" w:hAnsi="宋体" w:cs="宋体"/>
                <w:color w:val="000000" w:themeColor="text1"/>
                <w:szCs w:val="21"/>
                <w14:textFill>
                  <w14:solidFill>
                    <w14:schemeClr w14:val="tx1"/>
                  </w14:solidFill>
                </w14:textFill>
              </w:rPr>
              <w:t>Ⅱ期</w:t>
            </w:r>
            <w:r>
              <w:rPr>
                <w:rFonts w:hint="eastAsia" w:ascii="宋体" w:hAnsi="宋体"/>
                <w:color w:val="000000" w:themeColor="text1"/>
                <w:szCs w:val="21"/>
                <w14:textFill>
                  <w14:solidFill>
                    <w14:schemeClr w14:val="tx1"/>
                  </w14:solidFill>
                </w14:textFill>
              </w:rPr>
              <w:t>液氩储罐色环老化。</w:t>
            </w:r>
          </w:p>
        </w:tc>
        <w:tc>
          <w:tcPr>
            <w:tcW w:w="1426" w:type="pct"/>
            <w:vAlign w:val="center"/>
          </w:tcPr>
          <w:p w14:paraId="5409A88B">
            <w:pPr>
              <w:widowControl w:val="0"/>
              <w:adjustRightInd w:val="0"/>
              <w:snapToGrid w:val="0"/>
              <w:spacing w:line="240" w:lineRule="auto"/>
              <w:jc w:val="center"/>
            </w:pPr>
            <w:r>
              <w:rPr>
                <w:rFonts w:hint="eastAsia"/>
              </w:rPr>
              <w:t>GB16912-2008</w:t>
            </w:r>
          </w:p>
          <w:p w14:paraId="7ADE2D99">
            <w:pPr>
              <w:widowControl w:val="0"/>
              <w:adjustRightInd w:val="0"/>
              <w:snapToGrid w:val="0"/>
              <w:spacing w:line="240" w:lineRule="auto"/>
              <w:jc w:val="center"/>
              <w:rPr>
                <w:rFonts w:hint="eastAsia" w:ascii="宋体" w:hAnsi="宋体" w:cs="宋体"/>
                <w:color w:val="000000" w:themeColor="text1"/>
                <w:szCs w:val="21"/>
                <w14:textFill>
                  <w14:solidFill>
                    <w14:schemeClr w14:val="tx1"/>
                  </w14:solidFill>
                </w14:textFill>
              </w:rPr>
            </w:pPr>
            <w:r>
              <w:rPr>
                <w:rFonts w:hint="eastAsia"/>
              </w:rPr>
              <w:t>第4.12.3条</w:t>
            </w:r>
          </w:p>
        </w:tc>
        <w:tc>
          <w:tcPr>
            <w:tcW w:w="1426" w:type="pct"/>
            <w:vAlign w:val="center"/>
          </w:tcPr>
          <w:p w14:paraId="226618D9">
            <w:pPr>
              <w:widowControl w:val="0"/>
              <w:adjustRightInd w:val="0"/>
              <w:snapToGrid w:val="0"/>
              <w:spacing w:line="24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应更新储罐色环。</w:t>
            </w:r>
          </w:p>
        </w:tc>
      </w:tr>
    </w:tbl>
    <w:p w14:paraId="74EDDD91">
      <w:pPr>
        <w:rPr>
          <w:rFonts w:hint="eastAsia" w:eastAsiaTheme="minorEastAsia"/>
          <w:color w:val="auto"/>
          <w:sz w:val="28"/>
          <w:szCs w:val="20"/>
          <w:lang w:eastAsia="zh-CN"/>
        </w:rPr>
      </w:pPr>
      <w:r>
        <w:rPr>
          <w:rFonts w:hint="eastAsia" w:eastAsiaTheme="minorEastAsia"/>
          <w:color w:val="auto"/>
          <w:sz w:val="28"/>
          <w:szCs w:val="20"/>
          <w:lang w:eastAsia="zh-CN"/>
        </w:rPr>
        <w:br w:type="page"/>
      </w:r>
    </w:p>
    <w:p w14:paraId="575C08B7">
      <w:pPr>
        <w:pStyle w:val="10"/>
        <w:spacing w:line="240" w:lineRule="auto"/>
        <w:ind w:firstLine="0" w:firstLineChars="0"/>
        <w:rPr>
          <w:rFonts w:hint="eastAsia" w:eastAsiaTheme="minorEastAsia"/>
          <w:color w:val="auto"/>
          <w:sz w:val="28"/>
          <w:szCs w:val="20"/>
          <w:lang w:eastAsia="zh-CN"/>
        </w:rPr>
      </w:pPr>
      <w:r>
        <w:rPr>
          <w:rFonts w:hint="eastAsia" w:eastAsiaTheme="minorEastAsia"/>
          <w:color w:val="auto"/>
          <w:sz w:val="28"/>
          <w:szCs w:val="20"/>
          <w:lang w:eastAsia="zh-CN"/>
        </w:rPr>
        <w:drawing>
          <wp:inline distT="0" distB="0" distL="114300" distR="114300">
            <wp:extent cx="5734685" cy="8886825"/>
            <wp:effectExtent l="0" t="0" r="18415" b="952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9"/>
                    <a:stretch>
                      <a:fillRect/>
                    </a:stretch>
                  </pic:blipFill>
                  <pic:spPr>
                    <a:xfrm>
                      <a:off x="0" y="0"/>
                      <a:ext cx="5734685" cy="8886825"/>
                    </a:xfrm>
                    <a:prstGeom prst="rect">
                      <a:avLst/>
                    </a:prstGeom>
                  </pic:spPr>
                </pic:pic>
              </a:graphicData>
            </a:graphic>
          </wp:inline>
        </w:drawing>
      </w:r>
      <w:bookmarkStart w:id="24" w:name="_GoBack"/>
      <w:r>
        <w:rPr>
          <w:rFonts w:hint="eastAsia" w:eastAsiaTheme="minorEastAsia"/>
          <w:color w:val="auto"/>
          <w:sz w:val="28"/>
          <w:szCs w:val="20"/>
          <w:lang w:eastAsia="zh-CN"/>
        </w:rPr>
        <w:drawing>
          <wp:inline distT="0" distB="0" distL="114300" distR="114300">
            <wp:extent cx="5742940" cy="8772525"/>
            <wp:effectExtent l="0" t="0" r="10160" b="952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0"/>
                    <a:stretch>
                      <a:fillRect/>
                    </a:stretch>
                  </pic:blipFill>
                  <pic:spPr>
                    <a:xfrm>
                      <a:off x="0" y="0"/>
                      <a:ext cx="5742940" cy="8772525"/>
                    </a:xfrm>
                    <a:prstGeom prst="rect">
                      <a:avLst/>
                    </a:prstGeom>
                  </pic:spPr>
                </pic:pic>
              </a:graphicData>
            </a:graphic>
          </wp:inline>
        </w:drawing>
      </w:r>
      <w:bookmarkEnd w:id="24"/>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AD5E97"/>
    <w:rsid w:val="00B64575"/>
    <w:rsid w:val="02E561BC"/>
    <w:rsid w:val="03B21DD7"/>
    <w:rsid w:val="03CC63D7"/>
    <w:rsid w:val="05616C04"/>
    <w:rsid w:val="09D5345C"/>
    <w:rsid w:val="0A27015B"/>
    <w:rsid w:val="0BD51C61"/>
    <w:rsid w:val="0D0B1052"/>
    <w:rsid w:val="0EC853E9"/>
    <w:rsid w:val="0EDC1223"/>
    <w:rsid w:val="13C277AD"/>
    <w:rsid w:val="13D12EE6"/>
    <w:rsid w:val="153C4810"/>
    <w:rsid w:val="16BC1C2B"/>
    <w:rsid w:val="1E1E483E"/>
    <w:rsid w:val="1E9E17B8"/>
    <w:rsid w:val="22CB7136"/>
    <w:rsid w:val="284F788D"/>
    <w:rsid w:val="28E348A1"/>
    <w:rsid w:val="2A9D36CA"/>
    <w:rsid w:val="2E374561"/>
    <w:rsid w:val="2EB02BD7"/>
    <w:rsid w:val="2EC41433"/>
    <w:rsid w:val="315D76A2"/>
    <w:rsid w:val="32DB1C5F"/>
    <w:rsid w:val="335F1F61"/>
    <w:rsid w:val="354E2190"/>
    <w:rsid w:val="355F439E"/>
    <w:rsid w:val="35CC29B8"/>
    <w:rsid w:val="37224F7B"/>
    <w:rsid w:val="38356DC6"/>
    <w:rsid w:val="3B343FFC"/>
    <w:rsid w:val="3BB85D78"/>
    <w:rsid w:val="3F03502F"/>
    <w:rsid w:val="420C1409"/>
    <w:rsid w:val="46BE3C6F"/>
    <w:rsid w:val="4706325F"/>
    <w:rsid w:val="48FE4AE5"/>
    <w:rsid w:val="4B7D0EF4"/>
    <w:rsid w:val="510C73E4"/>
    <w:rsid w:val="537F016A"/>
    <w:rsid w:val="54F4335B"/>
    <w:rsid w:val="55D40D5D"/>
    <w:rsid w:val="563D798B"/>
    <w:rsid w:val="567C6788"/>
    <w:rsid w:val="56A7547E"/>
    <w:rsid w:val="579A241E"/>
    <w:rsid w:val="58081FD7"/>
    <w:rsid w:val="59D26E89"/>
    <w:rsid w:val="5A893A0E"/>
    <w:rsid w:val="5AB85F0C"/>
    <w:rsid w:val="5B242EC8"/>
    <w:rsid w:val="5E953707"/>
    <w:rsid w:val="60200DF5"/>
    <w:rsid w:val="65373F31"/>
    <w:rsid w:val="68772688"/>
    <w:rsid w:val="68F91E38"/>
    <w:rsid w:val="6AD40467"/>
    <w:rsid w:val="6BAD4EA1"/>
    <w:rsid w:val="6BF95CAB"/>
    <w:rsid w:val="6D0669CA"/>
    <w:rsid w:val="717A11AE"/>
    <w:rsid w:val="72127AC6"/>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widowControl w:val="0"/>
      <w:spacing w:line="240" w:lineRule="auto"/>
      <w:jc w:val="center"/>
      <w:textAlignment w:val="auto"/>
      <w:outlineLvl w:val="0"/>
    </w:pPr>
    <w:rPr>
      <w:rFonts w:ascii="楷体_GB2312" w:eastAsia="楷体_GB2312"/>
      <w:b/>
      <w:color w:val="auto"/>
      <w:spacing w:val="10"/>
      <w:kern w:val="2"/>
      <w:sz w:val="28"/>
      <w:szCs w:val="24"/>
    </w:rPr>
  </w:style>
  <w:style w:type="paragraph" w:styleId="5">
    <w:name w:val="heading 2"/>
    <w:basedOn w:val="1"/>
    <w:next w:val="1"/>
    <w:unhideWhenUsed/>
    <w:qFormat/>
    <w:uiPriority w:val="0"/>
    <w:pPr>
      <w:spacing w:line="560" w:lineRule="exact"/>
      <w:ind w:firstLine="200"/>
      <w:jc w:val="center"/>
      <w:outlineLvl w:val="1"/>
    </w:pPr>
    <w:rPr>
      <w:rFonts w:eastAsia="楷体_GB2312"/>
      <w:b/>
      <w:bCs/>
      <w:sz w:val="32"/>
      <w:szCs w:val="32"/>
    </w:rPr>
  </w:style>
  <w:style w:type="paragraph" w:styleId="6">
    <w:name w:val="heading 3"/>
    <w:basedOn w:val="1"/>
    <w:next w:val="1"/>
    <w:qFormat/>
    <w:uiPriority w:val="0"/>
    <w:pPr>
      <w:keepNext/>
      <w:widowControl w:val="0"/>
      <w:spacing w:line="400" w:lineRule="exact"/>
      <w:ind w:right="10"/>
      <w:jc w:val="center"/>
      <w:textAlignment w:val="auto"/>
      <w:outlineLvl w:val="2"/>
    </w:pPr>
    <w:rPr>
      <w:rFonts w:ascii="仿宋_GB2312" w:eastAsia="仿宋_GB2312"/>
      <w:color w:val="auto"/>
      <w:kern w:val="2"/>
      <w:sz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tabs>
        <w:tab w:val="left" w:pos="6120"/>
      </w:tabs>
      <w:spacing w:line="520" w:lineRule="exact"/>
      <w:ind w:left="0" w:leftChars="0"/>
    </w:pPr>
    <w:rPr>
      <w:rFonts w:ascii="黑体" w:hAnsi="黑体" w:eastAsia="黑体" w:cs="宋体"/>
      <w:sz w:val="28"/>
    </w:rPr>
  </w:style>
  <w:style w:type="paragraph" w:styleId="3">
    <w:name w:val="Body Text Indent"/>
    <w:basedOn w:val="1"/>
    <w:qFormat/>
    <w:uiPriority w:val="0"/>
    <w:pPr>
      <w:spacing w:after="120"/>
      <w:ind w:left="420" w:leftChars="200"/>
    </w:pPr>
  </w:style>
  <w:style w:type="paragraph" w:styleId="7">
    <w:name w:val="Normal Indent"/>
    <w:basedOn w:val="1"/>
    <w:qFormat/>
    <w:uiPriority w:val="99"/>
    <w:pPr>
      <w:ind w:firstLine="420"/>
    </w:pPr>
  </w:style>
  <w:style w:type="paragraph" w:styleId="8">
    <w:name w:val="caption"/>
    <w:basedOn w:val="1"/>
    <w:next w:val="1"/>
    <w:qFormat/>
    <w:uiPriority w:val="0"/>
    <w:rPr>
      <w:rFonts w:ascii="Arial" w:hAnsi="Arial" w:eastAsia="黑体"/>
      <w:sz w:val="20"/>
    </w:rPr>
  </w:style>
  <w:style w:type="paragraph" w:styleId="9">
    <w:name w:val="annotation text"/>
    <w:basedOn w:val="1"/>
    <w:qFormat/>
    <w:uiPriority w:val="0"/>
    <w:pPr>
      <w:jc w:val="left"/>
    </w:pPr>
  </w:style>
  <w:style w:type="paragraph" w:styleId="10">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u w:color="000000"/>
    </w:rPr>
  </w:style>
  <w:style w:type="paragraph" w:styleId="11">
    <w:name w:val="Plain Text"/>
    <w:basedOn w:val="1"/>
    <w:unhideWhenUsed/>
    <w:qFormat/>
    <w:uiPriority w:val="99"/>
    <w:rPr>
      <w:rFonts w:ascii="宋体" w:hAnsi="Courier New"/>
      <w:kern w:val="0"/>
      <w:sz w:val="20"/>
      <w:szCs w:val="20"/>
    </w:rPr>
  </w:style>
  <w:style w:type="paragraph" w:styleId="12">
    <w:name w:val="footer"/>
    <w:basedOn w:val="1"/>
    <w:qFormat/>
    <w:uiPriority w:val="0"/>
    <w:pPr>
      <w:tabs>
        <w:tab w:val="center" w:pos="4153"/>
        <w:tab w:val="right" w:pos="8306"/>
      </w:tabs>
      <w:snapToGrid w:val="0"/>
      <w:spacing w:line="240" w:lineRule="atLeast"/>
      <w:jc w:val="left"/>
    </w:pPr>
    <w:rPr>
      <w:sz w:val="18"/>
      <w:szCs w:val="18"/>
    </w:rPr>
  </w:style>
  <w:style w:type="paragraph" w:styleId="13">
    <w:name w:val="header"/>
    <w:basedOn w:val="1"/>
    <w:next w:val="14"/>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customStyle="1" w:styleId="14">
    <w:name w:val="样式5"/>
    <w:next w:val="1"/>
    <w:qFormat/>
    <w:uiPriority w:val="0"/>
    <w:pPr>
      <w:tabs>
        <w:tab w:val="center" w:pos="4153"/>
        <w:tab w:val="right" w:pos="8306"/>
      </w:tabs>
      <w:spacing w:line="360" w:lineRule="auto"/>
      <w:ind w:right="360" w:firstLine="111" w:firstLineChars="111"/>
    </w:pPr>
    <w:rPr>
      <w:rFonts w:ascii="Times New Roman" w:hAnsi="Times New Roman" w:eastAsia="宋体" w:cs="Times New Roman"/>
      <w:lang w:val="zh-CN" w:eastAsia="zh-CN" w:bidi="ar-SA"/>
    </w:rPr>
  </w:style>
  <w:style w:type="paragraph" w:styleId="15">
    <w:name w:val="Title"/>
    <w:basedOn w:val="1"/>
    <w:next w:val="1"/>
    <w:qFormat/>
    <w:uiPriority w:val="0"/>
    <w:pPr>
      <w:spacing w:before="240" w:after="60"/>
      <w:jc w:val="center"/>
      <w:outlineLvl w:val="0"/>
    </w:pPr>
    <w:rPr>
      <w:rFonts w:ascii="Arial" w:hAnsi="Arial"/>
      <w:b/>
      <w:sz w:val="32"/>
    </w:rPr>
  </w:style>
  <w:style w:type="paragraph" w:styleId="16">
    <w:name w:val="Body Text First Indent"/>
    <w:basedOn w:val="10"/>
    <w:next w:val="1"/>
    <w:qFormat/>
    <w:uiPriority w:val="0"/>
    <w:pPr>
      <w:ind w:firstLine="420" w:firstLineChars="100"/>
    </w:pPr>
    <w:rPr>
      <w:b/>
      <w:u w:val="single"/>
    </w:rPr>
  </w:style>
  <w:style w:type="paragraph" w:customStyle="1" w:styleId="19">
    <w:name w:val="111"/>
    <w:basedOn w:val="20"/>
    <w:qFormat/>
    <w:uiPriority w:val="0"/>
    <w:pPr>
      <w:widowControl/>
      <w:jc w:val="left"/>
    </w:pPr>
    <w:rPr>
      <w:rFonts w:ascii="宋体" w:hAnsi="宋体" w:eastAsia="宋体" w:cs="宋体"/>
      <w:kern w:val="0"/>
      <w:sz w:val="24"/>
      <w:szCs w:val="24"/>
    </w:rPr>
  </w:style>
  <w:style w:type="paragraph" w:customStyle="1" w:styleId="20">
    <w:name w:val="题目"/>
    <w:basedOn w:val="1"/>
    <w:qFormat/>
    <w:uiPriority w:val="0"/>
    <w:pPr>
      <w:jc w:val="center"/>
      <w:outlineLvl w:val="0"/>
    </w:pPr>
    <w:rPr>
      <w:rFonts w:ascii="黑体" w:hAnsi="黑体" w:eastAsia="黑体"/>
      <w:sz w:val="32"/>
      <w:szCs w:val="32"/>
    </w:rPr>
  </w:style>
  <w:style w:type="paragraph" w:customStyle="1" w:styleId="21">
    <w:name w:val="Table Text"/>
    <w:basedOn w:val="1"/>
    <w:semiHidden/>
    <w:qFormat/>
    <w:uiPriority w:val="0"/>
    <w:rPr>
      <w:rFonts w:ascii="宋体" w:hAnsi="宋体" w:eastAsia="宋体" w:cs="宋体"/>
      <w:sz w:val="20"/>
      <w:szCs w:val="20"/>
      <w:lang w:eastAsia="en-US"/>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24">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25">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6">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7">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8">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9">
    <w:name w:val="表内文字"/>
    <w:basedOn w:val="11"/>
    <w:qFormat/>
    <w:uiPriority w:val="0"/>
    <w:pPr>
      <w:spacing w:line="320" w:lineRule="exact"/>
      <w:jc w:val="center"/>
    </w:pPr>
    <w:rPr>
      <w:rFonts w:ascii="Times New Roman" w:hAnsi="Times New Roman"/>
      <w:kern w:val="2"/>
      <w:sz w:val="21"/>
      <w:szCs w:val="21"/>
      <w:u w:color="000000"/>
    </w:rPr>
  </w:style>
  <w:style w:type="character" w:customStyle="1" w:styleId="30">
    <w:name w:val="标题 2 Char"/>
    <w:qFormat/>
    <w:uiPriority w:val="0"/>
    <w:rPr>
      <w:rFonts w:ascii="Arial" w:hAnsi="Arial" w:eastAsia="黑体"/>
      <w:b/>
      <w:kern w:val="2"/>
      <w:sz w:val="32"/>
      <w:lang w:val="en-US" w:eastAsia="zh-CN" w:bidi="ar-SA"/>
    </w:rPr>
  </w:style>
  <w:style w:type="paragraph" w:customStyle="1" w:styleId="31">
    <w:name w:val="永安样式表格"/>
    <w:basedOn w:val="8"/>
    <w:qFormat/>
    <w:uiPriority w:val="0"/>
    <w:pPr>
      <w:widowControl w:val="0"/>
      <w:adjustRightInd w:val="0"/>
      <w:snapToGrid w:val="0"/>
      <w:spacing w:line="520" w:lineRule="exact"/>
      <w:jc w:val="center"/>
    </w:pPr>
    <w:rPr>
      <w:rFonts w:ascii="黑体" w:hAnsi="黑体"/>
      <w:b/>
      <w:snapToGrid w:val="0"/>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13</Pages>
  <Words>3459</Words>
  <Characters>3913</Characters>
  <Lines>25</Lines>
  <Paragraphs>7</Paragraphs>
  <TotalTime>5</TotalTime>
  <ScaleCrop>false</ScaleCrop>
  <LinksUpToDate>false</LinksUpToDate>
  <CharactersWithSpaces>3949</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2025-08-25T08:19:49Z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