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51"/>
        <w:gridCol w:w="1798"/>
        <w:gridCol w:w="3816"/>
        <w:gridCol w:w="1874"/>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8"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西安市临潼区秦潼能源有限公司斜口秦潼加油站安全设施竣工验收评价报告</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8"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2025年7月</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923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6"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4"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1751"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8"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6"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4"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751"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8"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王克士</w:t>
            </w:r>
          </w:p>
        </w:tc>
        <w:tc>
          <w:tcPr>
            <w:tcW w:w="3816"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1200000000200824</w:t>
            </w:r>
          </w:p>
        </w:tc>
        <w:tc>
          <w:tcPr>
            <w:tcW w:w="1874" w:type="dxa"/>
            <w:tcBorders>
              <w:tl2br w:val="nil"/>
              <w:tr2bl w:val="nil"/>
            </w:tcBorders>
            <w:shd w:val="clear" w:color="auto" w:fill="FFFFFF"/>
            <w:vAlign w:val="center"/>
          </w:tcPr>
          <w:p w14:paraId="6301F8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016666</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51"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8"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6"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4" w:type="dxa"/>
            <w:tcBorders>
              <w:tl2br w:val="nil"/>
              <w:tr2bl w:val="nil"/>
            </w:tcBorders>
            <w:shd w:val="clear" w:color="auto" w:fill="FFFFFF"/>
            <w:vAlign w:val="center"/>
          </w:tcPr>
          <w:p w14:paraId="5DB20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322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1751"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2A86B3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吴红玉</w:t>
            </w:r>
          </w:p>
        </w:tc>
        <w:tc>
          <w:tcPr>
            <w:tcW w:w="3816"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1200000000300398</w:t>
            </w:r>
          </w:p>
        </w:tc>
        <w:tc>
          <w:tcPr>
            <w:tcW w:w="1874" w:type="dxa"/>
            <w:tcBorders>
              <w:tl2br w:val="nil"/>
              <w:tr2bl w:val="nil"/>
            </w:tcBorders>
            <w:shd w:val="clear" w:color="auto" w:fill="FFFFFF"/>
            <w:vAlign w:val="center"/>
          </w:tcPr>
          <w:p w14:paraId="799BC9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025175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1751"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33F7F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李  能</w:t>
            </w:r>
          </w:p>
        </w:tc>
        <w:tc>
          <w:tcPr>
            <w:tcW w:w="3816"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1500000000301650 </w:t>
            </w:r>
          </w:p>
        </w:tc>
        <w:tc>
          <w:tcPr>
            <w:tcW w:w="1874"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8"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8"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2025年7月17日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8"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2025年7月23日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8" w:hRule="atLeast"/>
          <w:jc w:val="center"/>
        </w:trPr>
        <w:tc>
          <w:tcPr>
            <w:tcW w:w="1751"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8" w:type="dxa"/>
            <w:gridSpan w:val="3"/>
            <w:tcBorders>
              <w:tl2br w:val="nil"/>
              <w:tr2bl w:val="nil"/>
            </w:tcBorders>
            <w:shd w:val="clear" w:color="auto" w:fill="FFFFFF"/>
            <w:vAlign w:val="center"/>
          </w:tcPr>
          <w:p w14:paraId="7A29B299">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eastAsia="zh-CN"/>
              </w:rPr>
            </w:pPr>
            <w:r>
              <w:rPr>
                <w:rFonts w:hint="eastAsia"/>
                <w:sz w:val="24"/>
                <w:szCs w:val="24"/>
                <w:lang w:eastAsia="zh-CN"/>
              </w:rPr>
              <w:t>该</w:t>
            </w:r>
            <w:r>
              <w:rPr>
                <w:rFonts w:hint="eastAsia"/>
                <w:sz w:val="24"/>
                <w:szCs w:val="24"/>
                <w:lang w:val="en-US" w:eastAsia="zh-CN"/>
              </w:rPr>
              <w:t>公司加油站</w:t>
            </w:r>
            <w:r>
              <w:rPr>
                <w:rFonts w:hint="eastAsia"/>
                <w:sz w:val="24"/>
                <w:szCs w:val="24"/>
                <w:lang w:eastAsia="zh-CN"/>
              </w:rPr>
              <w:t>位于西安市临潼区斜口街道办岳沟村六组108国道旁。该加油站主要经营汽油、柴油。</w:t>
            </w:r>
          </w:p>
          <w:p w14:paraId="4F87D6E0">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rPr>
            </w:pPr>
            <w:r>
              <w:rPr>
                <w:rFonts w:hint="eastAsia"/>
                <w:sz w:val="24"/>
                <w:szCs w:val="24"/>
                <w:lang w:val="en-US" w:eastAsia="zh-CN"/>
              </w:rPr>
              <w:t>该加油站设6台四枪加油机，其中4台四枪汽油加油机、2台四枪柴油加油机，设置SF双层卧式埋地钢制油罐4具，其中汽油罐2具，单罐容积分别为50m3、30m3；柴油罐2具，单罐容积分别为50m3、30m3，总储存容积为120m3（柴油容积折半计入油罐总容积），设置1台三次油气回收设备。依据《汽车加油加气加氢站技术标准》（GB50156-2021）3.0.9的规定，则该加油站等级为二级加油站。</w:t>
            </w:r>
          </w:p>
          <w:p w14:paraId="62C1D4BB">
            <w:pPr>
              <w:rPr>
                <w:rFonts w:hint="eastAsia"/>
                <w:lang w:val="en-US" w:eastAsia="zh-CN"/>
              </w:rPr>
            </w:pPr>
            <w:r>
              <w:rPr>
                <w:rFonts w:hint="eastAsia"/>
                <w:lang w:val="en-US" w:eastAsia="zh-CN"/>
              </w:rPr>
              <w:t>1、项目概况</w:t>
            </w:r>
          </w:p>
          <w:p w14:paraId="3A7E9CB0">
            <w:pPr>
              <w:rPr>
                <w:rFonts w:hint="eastAsia"/>
              </w:rPr>
            </w:pPr>
            <w:r>
              <w:rPr>
                <w:rFonts w:hint="eastAsia"/>
                <w:lang w:val="en-US" w:eastAsia="zh-CN"/>
              </w:rPr>
              <w:t>1）</w:t>
            </w:r>
            <w:r>
              <w:rPr>
                <w:rFonts w:hint="eastAsia"/>
              </w:rPr>
              <w:t>建设项目名称：</w:t>
            </w:r>
            <w:r>
              <w:rPr>
                <w:rFonts w:hint="eastAsia"/>
                <w:lang w:val="en-US" w:eastAsia="zh-CN"/>
              </w:rPr>
              <w:t>西安市临潼区秦潼能源有限公司斜口秦潼加油站改建项目</w:t>
            </w:r>
            <w:r>
              <w:rPr>
                <w:rFonts w:hint="eastAsia"/>
              </w:rPr>
              <w:t>（以下简称“</w:t>
            </w:r>
            <w:r>
              <w:rPr>
                <w:rFonts w:hint="eastAsia"/>
                <w:lang w:eastAsia="zh-CN"/>
              </w:rPr>
              <w:t>该项目</w:t>
            </w:r>
            <w:r>
              <w:rPr>
                <w:rFonts w:hint="eastAsia"/>
              </w:rPr>
              <w:t>”）</w:t>
            </w:r>
          </w:p>
          <w:p w14:paraId="06E703DD">
            <w:pPr>
              <w:rPr>
                <w:rFonts w:hint="eastAsia"/>
              </w:rPr>
            </w:pPr>
            <w:r>
              <w:rPr>
                <w:rFonts w:hint="eastAsia"/>
                <w:lang w:val="en-US" w:eastAsia="zh-CN"/>
              </w:rPr>
              <w:t>2）</w:t>
            </w:r>
            <w:r>
              <w:rPr>
                <w:rFonts w:hint="eastAsia"/>
              </w:rPr>
              <w:t>建设项目类型：</w:t>
            </w:r>
            <w:r>
              <w:rPr>
                <w:rFonts w:hint="eastAsia"/>
                <w:lang w:val="en-US" w:eastAsia="zh-CN"/>
              </w:rPr>
              <w:t>改建</w:t>
            </w:r>
            <w:r>
              <w:rPr>
                <w:rFonts w:hint="eastAsia"/>
              </w:rPr>
              <w:t>项目</w:t>
            </w:r>
          </w:p>
          <w:p w14:paraId="7076C342">
            <w:pPr>
              <w:rPr>
                <w:rFonts w:hint="eastAsia"/>
                <w:lang w:val="zh-CN" w:eastAsia="zh-CN"/>
              </w:rPr>
            </w:pPr>
            <w:r>
              <w:rPr>
                <w:rFonts w:hint="eastAsia"/>
                <w:lang w:val="en-US" w:eastAsia="zh-CN"/>
              </w:rPr>
              <w:t>3）</w:t>
            </w:r>
            <w:r>
              <w:rPr>
                <w:rFonts w:hint="eastAsia"/>
              </w:rPr>
              <w:t>项目建设地点：</w:t>
            </w:r>
            <w:r>
              <w:rPr>
                <w:rFonts w:hint="eastAsia"/>
                <w:lang w:val="zh-CN"/>
              </w:rPr>
              <w:t>西安市临潼区斜口街道办岳沟村六组108国道旁</w:t>
            </w:r>
          </w:p>
          <w:p w14:paraId="49F0E3A3">
            <w:pPr>
              <w:rPr>
                <w:rFonts w:hint="eastAsia"/>
                <w:lang w:eastAsia="zh-CN"/>
              </w:rPr>
            </w:pPr>
            <w:r>
              <w:rPr>
                <w:rFonts w:hint="eastAsia"/>
                <w:lang w:val="en-US" w:eastAsia="zh-CN"/>
              </w:rPr>
              <w:t>4）</w:t>
            </w:r>
            <w:r>
              <w:rPr>
                <w:rFonts w:hint="eastAsia"/>
                <w:lang w:eastAsia="zh-CN"/>
              </w:rPr>
              <w:t>建设</w:t>
            </w:r>
            <w:r>
              <w:rPr>
                <w:rFonts w:hint="eastAsia"/>
              </w:rPr>
              <w:t>项目投资</w:t>
            </w:r>
            <w:r>
              <w:rPr>
                <w:rFonts w:hint="eastAsia"/>
                <w:lang w:eastAsia="zh-CN"/>
              </w:rPr>
              <w:t>：</w:t>
            </w:r>
            <w:r>
              <w:rPr>
                <w:rFonts w:hint="eastAsia"/>
                <w:lang w:val="zh-CN"/>
              </w:rPr>
              <w:t>项目</w:t>
            </w:r>
            <w:r>
              <w:rPr>
                <w:rFonts w:hint="eastAsia"/>
                <w:lang w:val="en-US" w:eastAsia="zh-CN"/>
              </w:rPr>
              <w:t>总</w:t>
            </w:r>
            <w:r>
              <w:rPr>
                <w:rFonts w:hint="eastAsia"/>
              </w:rPr>
              <w:t>投资</w:t>
            </w:r>
            <w:r>
              <w:rPr>
                <w:rFonts w:hint="eastAsia"/>
                <w:lang w:val="en-US" w:eastAsia="zh-CN"/>
              </w:rPr>
              <w:t>600</w:t>
            </w:r>
            <w:r>
              <w:rPr>
                <w:rFonts w:hint="eastAsia"/>
              </w:rPr>
              <w:t>万元</w:t>
            </w:r>
            <w:r>
              <w:rPr>
                <w:rFonts w:hint="eastAsia"/>
                <w:lang w:eastAsia="zh-CN"/>
              </w:rPr>
              <w:t>。</w:t>
            </w:r>
          </w:p>
          <w:p w14:paraId="65B90304">
            <w:pPr>
              <w:rPr>
                <w:rFonts w:hint="eastAsia"/>
                <w:lang w:val="en-US" w:eastAsia="zh-CN"/>
              </w:rPr>
            </w:pPr>
            <w:r>
              <w:rPr>
                <w:rFonts w:hint="eastAsia"/>
                <w:lang w:val="en-US" w:eastAsia="zh-CN"/>
              </w:rPr>
              <w:t>5）建设项目规模及内容：</w:t>
            </w:r>
          </w:p>
          <w:p w14:paraId="34CFFCEF">
            <w:pPr>
              <w:rPr>
                <w:rFonts w:hint="eastAsia"/>
                <w:lang w:val="en-US" w:eastAsia="zh-CN"/>
              </w:rPr>
            </w:pPr>
            <w:r>
              <w:rPr>
                <w:rFonts w:hint="eastAsia"/>
                <w:lang w:val="en-US" w:eastAsia="zh-CN"/>
              </w:rPr>
              <w:t>（1）拆除CNG加气设施及设备；</w:t>
            </w:r>
          </w:p>
          <w:p w14:paraId="0E526AD9">
            <w:pPr>
              <w:rPr>
                <w:rFonts w:hint="eastAsia"/>
                <w:lang w:val="en-US" w:eastAsia="zh-CN"/>
              </w:rPr>
            </w:pPr>
            <w:r>
              <w:rPr>
                <w:rFonts w:hint="eastAsia"/>
                <w:lang w:val="en-US" w:eastAsia="zh-CN"/>
              </w:rPr>
              <w:t>（2）改建翻新站房及罩棚；</w:t>
            </w:r>
          </w:p>
          <w:p w14:paraId="14B8B008">
            <w:pPr>
              <w:rPr>
                <w:rFonts w:hint="eastAsia"/>
                <w:lang w:val="en-US" w:eastAsia="zh-CN"/>
              </w:rPr>
            </w:pPr>
            <w:r>
              <w:rPr>
                <w:rFonts w:hint="eastAsia"/>
                <w:lang w:val="en-US" w:eastAsia="zh-CN"/>
              </w:rPr>
              <w:t>（3）拆除原有4台加油机，更新为6台4枪加油机；</w:t>
            </w:r>
          </w:p>
          <w:p w14:paraId="4FD496AC">
            <w:pPr>
              <w:rPr>
                <w:rFonts w:hint="eastAsia"/>
                <w:lang w:val="en-US" w:eastAsia="zh-CN"/>
              </w:rPr>
            </w:pPr>
            <w:r>
              <w:rPr>
                <w:rFonts w:hint="eastAsia"/>
                <w:lang w:val="en-US" w:eastAsia="zh-CN"/>
              </w:rPr>
              <w:t>（4）更改油罐位置，更改油罐为承重罐，分别为50m392#汽油罐1个，30m395#汽油罐1个，50m3柴油罐1个，30m3柴油罐1个，更新输油管线；</w:t>
            </w:r>
          </w:p>
          <w:p w14:paraId="6D91CEF4">
            <w:pPr>
              <w:rPr>
                <w:rFonts w:hint="eastAsia"/>
              </w:rPr>
            </w:pPr>
            <w:r>
              <w:rPr>
                <w:rFonts w:hint="eastAsia"/>
                <w:lang w:val="en-US" w:eastAsia="zh-CN"/>
              </w:rPr>
              <w:t>（5）加油站路面硬化及升级安防设施。</w:t>
            </w: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jc w:val="center"/>
        </w:trPr>
        <w:tc>
          <w:tcPr>
            <w:tcW w:w="1751"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8"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1F71DE57">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sectPr>
          <w:pgSz w:w="11906" w:h="16838"/>
          <w:pgMar w:top="1440" w:right="1800" w:bottom="1440" w:left="1800" w:header="851" w:footer="992" w:gutter="0"/>
          <w:cols w:space="720" w:num="1"/>
          <w:docGrid w:type="lines" w:linePitch="312" w:charSpace="0"/>
        </w:sectPr>
      </w:pPr>
    </w:p>
    <w:p w14:paraId="2EC40581">
      <w:pPr>
        <w:rPr>
          <w:rFonts w:hint="default" w:ascii="Times New Roman" w:hAnsi="Times New Roman" w:eastAsia="仿宋_GB2312" w:cs="Times New Roman"/>
          <w:kern w:val="2"/>
          <w:sz w:val="24"/>
          <w:szCs w:val="24"/>
          <w:lang w:val="en-US" w:eastAsia="zh-CN" w:bidi="ar-SA"/>
        </w:rPr>
      </w:pPr>
      <w:r>
        <w:rPr>
          <w:rFonts w:hint="default"/>
          <w:lang w:val="en-US" w:eastAsia="zh-CN"/>
        </w:rPr>
        <w:drawing>
          <wp:anchor distT="0" distB="0" distL="114300" distR="114300" simplePos="0" relativeHeight="251662336" behindDoc="0" locked="0" layoutInCell="1" allowOverlap="1">
            <wp:simplePos x="0" y="0"/>
            <wp:positionH relativeFrom="column">
              <wp:posOffset>-111760</wp:posOffset>
            </wp:positionH>
            <wp:positionV relativeFrom="paragraph">
              <wp:posOffset>347345</wp:posOffset>
            </wp:positionV>
            <wp:extent cx="5267960" cy="3950335"/>
            <wp:effectExtent l="0" t="0" r="8890" b="12065"/>
            <wp:wrapNone/>
            <wp:docPr id="4" name="图片 4" descr="636dcd15bb12ab4d39df2006244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6dcd15bb12ab4d39df20062447900"/>
                    <pic:cNvPicPr>
                      <a:picLocks noChangeAspect="1"/>
                    </pic:cNvPicPr>
                  </pic:nvPicPr>
                  <pic:blipFill>
                    <a:blip r:embed="rId4"/>
                    <a:stretch>
                      <a:fillRect/>
                    </a:stretch>
                  </pic:blipFill>
                  <pic:spPr>
                    <a:xfrm>
                      <a:off x="0" y="0"/>
                      <a:ext cx="5267960" cy="3950335"/>
                    </a:xfrm>
                    <a:prstGeom prst="rect">
                      <a:avLst/>
                    </a:prstGeom>
                  </pic:spPr>
                </pic:pic>
              </a:graphicData>
            </a:graphic>
          </wp:anchor>
        </w:drawing>
      </w:r>
      <w:r>
        <w:rPr>
          <w:rFonts w:hint="eastAsia" w:ascii="Times New Roman" w:hAnsi="Times New Roman"/>
          <w:kern w:val="0"/>
          <w:sz w:val="28"/>
          <w:szCs w:val="28"/>
          <w:shd w:val="clear" w:color="auto" w:fill="FFFFFF"/>
          <w:lang w:val="en-US" w:eastAsia="zh-CN"/>
        </w:rPr>
        <w:t>评价人员现场照片</w:t>
      </w:r>
      <w:bookmarkStart w:id="0" w:name="_GoBack"/>
      <w:bookmarkEnd w:id="0"/>
    </w:p>
    <w:p w14:paraId="3DD1759D">
      <w:pPr>
        <w:jc w:val="center"/>
        <w:rPr>
          <w:rFonts w:hint="eastAsia" w:ascii="Times New Roman" w:hAnsi="Times New Roman" w:eastAsia="宋体"/>
          <w:kern w:val="0"/>
          <w:sz w:val="28"/>
          <w:szCs w:val="28"/>
          <w:shd w:val="clear" w:color="auto" w:fill="FFFFFF"/>
          <w:lang w:eastAsia="zh-CN"/>
        </w:rPr>
      </w:pPr>
    </w:p>
    <w:p w14:paraId="274B9DD8">
      <w:pPr>
        <w:rPr>
          <w:lang w:val="en-US" w:eastAsia="zh-CN"/>
        </w:rPr>
      </w:pPr>
    </w:p>
    <w:p w14:paraId="217FC638">
      <w:pPr>
        <w:rPr>
          <w:rFonts w:hint="default"/>
          <w:lang w:val="en-US" w:eastAsia="zh-CN"/>
        </w:rPr>
      </w:pPr>
    </w:p>
    <w:p w14:paraId="6490E5A4">
      <w:pPr>
        <w:rPr>
          <w:rFonts w:hint="default"/>
          <w:lang w:val="en-US" w:eastAsia="zh-CN"/>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61312" behindDoc="1" locked="0" layoutInCell="1" allowOverlap="1">
            <wp:simplePos x="0" y="0"/>
            <wp:positionH relativeFrom="column">
              <wp:posOffset>-101600</wp:posOffset>
            </wp:positionH>
            <wp:positionV relativeFrom="paragraph">
              <wp:posOffset>2668270</wp:posOffset>
            </wp:positionV>
            <wp:extent cx="3536315" cy="4716780"/>
            <wp:effectExtent l="0" t="0" r="6985" b="7620"/>
            <wp:wrapNone/>
            <wp:docPr id="5" name="图片 5" descr="fa644aa34339577f6e7975810ddfb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644aa34339577f6e7975810ddfb5cc"/>
                    <pic:cNvPicPr>
                      <a:picLocks noChangeAspect="1"/>
                    </pic:cNvPicPr>
                  </pic:nvPicPr>
                  <pic:blipFill>
                    <a:blip r:embed="rId5"/>
                    <a:stretch>
                      <a:fillRect/>
                    </a:stretch>
                  </pic:blipFill>
                  <pic:spPr>
                    <a:xfrm>
                      <a:off x="0" y="0"/>
                      <a:ext cx="3536315" cy="4716780"/>
                    </a:xfrm>
                    <a:prstGeom prst="rect">
                      <a:avLst/>
                    </a:prstGeom>
                  </pic:spPr>
                </pic:pic>
              </a:graphicData>
            </a:graphic>
          </wp:anchor>
        </w:drawing>
      </w:r>
    </w:p>
    <w:p w14:paraId="2DEED9FF">
      <w:pPr>
        <w:rPr>
          <w:rFonts w:hint="default"/>
          <w:lang w:val="en-US" w:eastAsia="zh-CN"/>
        </w:rPr>
        <w:sectPr>
          <w:pgSz w:w="11906" w:h="16838"/>
          <w:pgMar w:top="1440" w:right="1800" w:bottom="1440" w:left="1800" w:header="851" w:footer="992" w:gutter="0"/>
          <w:cols w:space="720" w:num="1"/>
          <w:docGrid w:type="lines" w:linePitch="312" w:charSpace="0"/>
        </w:sectPr>
      </w:pPr>
    </w:p>
    <w:p w14:paraId="346993E3">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报告外封面（扫描件）</w:t>
      </w:r>
    </w:p>
    <w:p w14:paraId="2C1D7FCB">
      <w:pPr>
        <w:rPr>
          <w:rFonts w:hint="default"/>
          <w:lang w:val="en-US" w:eastAsia="zh-CN"/>
        </w:rPr>
      </w:pPr>
      <w:r>
        <w:drawing>
          <wp:inline distT="0" distB="0" distL="114300" distR="114300">
            <wp:extent cx="5768975" cy="8173085"/>
            <wp:effectExtent l="0" t="0" r="317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68975" cy="8173085"/>
                    </a:xfrm>
                    <a:prstGeom prst="rect">
                      <a:avLst/>
                    </a:prstGeom>
                    <a:noFill/>
                    <a:ln>
                      <a:noFill/>
                    </a:ln>
                  </pic:spPr>
                </pic:pic>
              </a:graphicData>
            </a:graphic>
          </wp:inline>
        </w:drawing>
      </w:r>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4EF0D39B">
      <w:pPr>
        <w:pStyle w:val="5"/>
        <w:rPr>
          <w:rFonts w:hint="default"/>
          <w:lang w:val="en-US" w:eastAsia="zh-CN"/>
        </w:rPr>
      </w:pPr>
      <w:r>
        <w:drawing>
          <wp:inline distT="0" distB="0" distL="114300" distR="114300">
            <wp:extent cx="5408930" cy="785177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08930" cy="7851775"/>
                    </a:xfrm>
                    <a:prstGeom prst="rect">
                      <a:avLst/>
                    </a:prstGeom>
                    <a:noFill/>
                    <a:ln>
                      <a:noFill/>
                    </a:ln>
                  </pic:spPr>
                </pic:pic>
              </a:graphicData>
            </a:graphic>
          </wp:inline>
        </w:drawing>
      </w:r>
    </w:p>
    <w:p w14:paraId="2ED2A02B">
      <w:pPr>
        <w:rPr>
          <w:rFonts w:hint="default"/>
          <w:lang w:val="en-US" w:eastAsia="zh-CN"/>
        </w:rPr>
      </w:pPr>
    </w:p>
    <w:p w14:paraId="2C72C22B">
      <w:pPr>
        <w:rPr>
          <w:rFonts w:hint="default"/>
          <w:lang w:val="en-US" w:eastAsia="zh-CN"/>
        </w:rPr>
      </w:pPr>
    </w:p>
    <w:p w14:paraId="32F23C62">
      <w:pPr>
        <w:pStyle w:val="5"/>
        <w:rPr>
          <w:rFonts w:hint="eastAsia" w:ascii="Times New Roman" w:hAnsi="Times New Roman"/>
          <w:kern w:val="0"/>
          <w:sz w:val="28"/>
          <w:szCs w:val="28"/>
          <w:shd w:val="clear" w:color="auto" w:fill="FFFFFF"/>
          <w:lang w:val="en-US" w:eastAsia="zh-CN"/>
        </w:rPr>
        <w:sectPr>
          <w:pgSz w:w="11906" w:h="16838"/>
          <w:pgMar w:top="1440" w:right="1800" w:bottom="1440" w:left="1800" w:header="851" w:footer="992" w:gutter="0"/>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-84455</wp:posOffset>
            </wp:positionH>
            <wp:positionV relativeFrom="paragraph">
              <wp:posOffset>411480</wp:posOffset>
            </wp:positionV>
            <wp:extent cx="5662295" cy="8255635"/>
            <wp:effectExtent l="0" t="0" r="14605" b="1206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662295" cy="8255635"/>
                    </a:xfrm>
                    <a:prstGeom prst="rect">
                      <a:avLst/>
                    </a:prstGeom>
                    <a:noFill/>
                    <a:ln>
                      <a:noFill/>
                    </a:ln>
                  </pic:spPr>
                </pic:pic>
              </a:graphicData>
            </a:graphic>
          </wp:anchor>
        </w:drawing>
      </w: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p>
    <w:p w14:paraId="0A397AF1">
      <w:pPr>
        <w:rPr>
          <w:rFonts w:hint="default"/>
          <w:lang w:val="en-US" w:eastAsia="zh-CN"/>
        </w:rPr>
      </w:pPr>
      <w:r>
        <w:drawing>
          <wp:anchor distT="0" distB="0" distL="114300" distR="114300" simplePos="0" relativeHeight="251659264" behindDoc="0" locked="0" layoutInCell="1" allowOverlap="1">
            <wp:simplePos x="0" y="0"/>
            <wp:positionH relativeFrom="column">
              <wp:posOffset>-47625</wp:posOffset>
            </wp:positionH>
            <wp:positionV relativeFrom="paragraph">
              <wp:posOffset>916305</wp:posOffset>
            </wp:positionV>
            <wp:extent cx="5273675" cy="7489190"/>
            <wp:effectExtent l="0" t="0" r="3175" b="16510"/>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273675" cy="7489190"/>
                    </a:xfrm>
                    <a:prstGeom prst="rect">
                      <a:avLst/>
                    </a:prstGeom>
                    <a:noFill/>
                    <a:ln>
                      <a:noFill/>
                    </a:ln>
                  </pic:spPr>
                </pic:pic>
              </a:graphicData>
            </a:graphic>
          </wp:anchor>
        </w:drawing>
      </w:r>
      <w:r>
        <w:rPr>
          <w:rFonts w:hint="eastAsia" w:ascii="Times New Roman" w:hAnsi="Times New Roman" w:eastAsia="宋体"/>
          <w:kern w:val="0"/>
          <w:sz w:val="28"/>
          <w:szCs w:val="28"/>
          <w:shd w:val="clear" w:color="auto" w:fill="FFFFFF"/>
          <w:lang w:val="en-US" w:eastAsia="zh-CN"/>
        </w:rPr>
        <w:t>合同外封面（盖</w:t>
      </w:r>
      <w:r>
        <w:rPr>
          <w:rFonts w:hint="eastAsia" w:ascii="Times New Roman" w:hAnsi="Times New Roman"/>
          <w:kern w:val="0"/>
          <w:sz w:val="28"/>
          <w:szCs w:val="28"/>
          <w:shd w:val="clear" w:color="auto" w:fill="FFFFFF"/>
          <w:lang w:val="en-US" w:eastAsia="zh-CN"/>
        </w:rPr>
        <w:t>章扫描件）</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16116BD"/>
    <w:rsid w:val="02AD2257"/>
    <w:rsid w:val="02DB29D5"/>
    <w:rsid w:val="03C37305"/>
    <w:rsid w:val="04543719"/>
    <w:rsid w:val="045937F4"/>
    <w:rsid w:val="04664971"/>
    <w:rsid w:val="04714B20"/>
    <w:rsid w:val="04D11406"/>
    <w:rsid w:val="04E23328"/>
    <w:rsid w:val="0566548D"/>
    <w:rsid w:val="05E76500"/>
    <w:rsid w:val="06EF6353"/>
    <w:rsid w:val="07D32EB9"/>
    <w:rsid w:val="07E46E00"/>
    <w:rsid w:val="08300409"/>
    <w:rsid w:val="08302FF8"/>
    <w:rsid w:val="08ED0200"/>
    <w:rsid w:val="092A567E"/>
    <w:rsid w:val="096769A3"/>
    <w:rsid w:val="096F1B10"/>
    <w:rsid w:val="09880F90"/>
    <w:rsid w:val="09D81F15"/>
    <w:rsid w:val="0A0E1339"/>
    <w:rsid w:val="0BC750FD"/>
    <w:rsid w:val="0D073DB5"/>
    <w:rsid w:val="0D081033"/>
    <w:rsid w:val="0EAC631D"/>
    <w:rsid w:val="0F1C6141"/>
    <w:rsid w:val="101628B2"/>
    <w:rsid w:val="105554FB"/>
    <w:rsid w:val="10806817"/>
    <w:rsid w:val="10AE1BD9"/>
    <w:rsid w:val="110E04BA"/>
    <w:rsid w:val="11373ABE"/>
    <w:rsid w:val="12B85A3D"/>
    <w:rsid w:val="13FA1B12"/>
    <w:rsid w:val="141C622E"/>
    <w:rsid w:val="17550DB0"/>
    <w:rsid w:val="17810296"/>
    <w:rsid w:val="17C601C4"/>
    <w:rsid w:val="18301429"/>
    <w:rsid w:val="188D103C"/>
    <w:rsid w:val="190E35A0"/>
    <w:rsid w:val="191A70DD"/>
    <w:rsid w:val="19992B53"/>
    <w:rsid w:val="19CE23A1"/>
    <w:rsid w:val="1A4E76A5"/>
    <w:rsid w:val="1ADA1B6B"/>
    <w:rsid w:val="1B63147C"/>
    <w:rsid w:val="1BBB39A1"/>
    <w:rsid w:val="1C4B6410"/>
    <w:rsid w:val="1CD13F56"/>
    <w:rsid w:val="1CD14F1F"/>
    <w:rsid w:val="1F142A61"/>
    <w:rsid w:val="1FAC2BD1"/>
    <w:rsid w:val="214C4107"/>
    <w:rsid w:val="21A13C43"/>
    <w:rsid w:val="2282270A"/>
    <w:rsid w:val="23532900"/>
    <w:rsid w:val="23B37411"/>
    <w:rsid w:val="242E50EF"/>
    <w:rsid w:val="24775815"/>
    <w:rsid w:val="271635D9"/>
    <w:rsid w:val="27280E94"/>
    <w:rsid w:val="27500F62"/>
    <w:rsid w:val="27F61196"/>
    <w:rsid w:val="29166A04"/>
    <w:rsid w:val="295537AE"/>
    <w:rsid w:val="297A3C20"/>
    <w:rsid w:val="29925FE1"/>
    <w:rsid w:val="29C972C6"/>
    <w:rsid w:val="29FC7E30"/>
    <w:rsid w:val="2B2010D4"/>
    <w:rsid w:val="2BD9110B"/>
    <w:rsid w:val="2CF970FD"/>
    <w:rsid w:val="2E5A3DAC"/>
    <w:rsid w:val="2EAE6403"/>
    <w:rsid w:val="31747736"/>
    <w:rsid w:val="32057381"/>
    <w:rsid w:val="339918AA"/>
    <w:rsid w:val="351530F3"/>
    <w:rsid w:val="35211925"/>
    <w:rsid w:val="359C09E7"/>
    <w:rsid w:val="35DF3475"/>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6E6023"/>
    <w:rsid w:val="3DEB4A20"/>
    <w:rsid w:val="3E1B2173"/>
    <w:rsid w:val="3EB62D94"/>
    <w:rsid w:val="3FDA2F9E"/>
    <w:rsid w:val="416C231C"/>
    <w:rsid w:val="41C84509"/>
    <w:rsid w:val="421F77C2"/>
    <w:rsid w:val="42305ED2"/>
    <w:rsid w:val="42355182"/>
    <w:rsid w:val="42403A61"/>
    <w:rsid w:val="43120BD6"/>
    <w:rsid w:val="43F50190"/>
    <w:rsid w:val="4432163F"/>
    <w:rsid w:val="45092F9E"/>
    <w:rsid w:val="4546743F"/>
    <w:rsid w:val="45A13141"/>
    <w:rsid w:val="46966FC2"/>
    <w:rsid w:val="47537B1E"/>
    <w:rsid w:val="47EE36B2"/>
    <w:rsid w:val="4810757A"/>
    <w:rsid w:val="48AF6D87"/>
    <w:rsid w:val="49CE6C17"/>
    <w:rsid w:val="4CDE060B"/>
    <w:rsid w:val="4CE17014"/>
    <w:rsid w:val="4CE473AA"/>
    <w:rsid w:val="4E3D5914"/>
    <w:rsid w:val="4EC87688"/>
    <w:rsid w:val="515A3854"/>
    <w:rsid w:val="52AD5656"/>
    <w:rsid w:val="52CC47C0"/>
    <w:rsid w:val="52E07D49"/>
    <w:rsid w:val="5374510A"/>
    <w:rsid w:val="53AE2320"/>
    <w:rsid w:val="5503044A"/>
    <w:rsid w:val="55B026BB"/>
    <w:rsid w:val="563D2137"/>
    <w:rsid w:val="57301D47"/>
    <w:rsid w:val="57487036"/>
    <w:rsid w:val="57800B40"/>
    <w:rsid w:val="57CD2DFE"/>
    <w:rsid w:val="58244FE5"/>
    <w:rsid w:val="58257B8B"/>
    <w:rsid w:val="584B13F6"/>
    <w:rsid w:val="5984145C"/>
    <w:rsid w:val="59D926D2"/>
    <w:rsid w:val="5A3C20EF"/>
    <w:rsid w:val="5A3E4927"/>
    <w:rsid w:val="5AA52A54"/>
    <w:rsid w:val="5BC05975"/>
    <w:rsid w:val="5C0F4EFE"/>
    <w:rsid w:val="5CAC7411"/>
    <w:rsid w:val="5D89238E"/>
    <w:rsid w:val="5DA30A1C"/>
    <w:rsid w:val="5E3F6556"/>
    <w:rsid w:val="5E6A6403"/>
    <w:rsid w:val="5E8C3C37"/>
    <w:rsid w:val="5EBC6D64"/>
    <w:rsid w:val="5F182B4A"/>
    <w:rsid w:val="5FAD6EB4"/>
    <w:rsid w:val="5FD163AE"/>
    <w:rsid w:val="60057BEA"/>
    <w:rsid w:val="60B460AF"/>
    <w:rsid w:val="619747AF"/>
    <w:rsid w:val="621C336D"/>
    <w:rsid w:val="62EA5BC6"/>
    <w:rsid w:val="63AF3DDE"/>
    <w:rsid w:val="64126CC6"/>
    <w:rsid w:val="648F0582"/>
    <w:rsid w:val="6559245A"/>
    <w:rsid w:val="658C415A"/>
    <w:rsid w:val="65BC6B1F"/>
    <w:rsid w:val="66C53C4A"/>
    <w:rsid w:val="673B297E"/>
    <w:rsid w:val="678F323C"/>
    <w:rsid w:val="67EA3C87"/>
    <w:rsid w:val="68233EA0"/>
    <w:rsid w:val="693E2E18"/>
    <w:rsid w:val="6AA57F27"/>
    <w:rsid w:val="6B5748D8"/>
    <w:rsid w:val="6CC37EB5"/>
    <w:rsid w:val="6D1139EB"/>
    <w:rsid w:val="6E2A4841"/>
    <w:rsid w:val="6EB271B2"/>
    <w:rsid w:val="6F3D1DEF"/>
    <w:rsid w:val="710C2D52"/>
    <w:rsid w:val="71276AD1"/>
    <w:rsid w:val="7160445C"/>
    <w:rsid w:val="71697143"/>
    <w:rsid w:val="716C6A50"/>
    <w:rsid w:val="7207397B"/>
    <w:rsid w:val="72C43B37"/>
    <w:rsid w:val="730E1CC8"/>
    <w:rsid w:val="737D1DEA"/>
    <w:rsid w:val="748B2EA1"/>
    <w:rsid w:val="74AE0F56"/>
    <w:rsid w:val="75596373"/>
    <w:rsid w:val="770403EE"/>
    <w:rsid w:val="771E190D"/>
    <w:rsid w:val="77832F9B"/>
    <w:rsid w:val="77E51300"/>
    <w:rsid w:val="784004D1"/>
    <w:rsid w:val="78725E9B"/>
    <w:rsid w:val="78B611AB"/>
    <w:rsid w:val="79302291"/>
    <w:rsid w:val="7B424553"/>
    <w:rsid w:val="7BB96559"/>
    <w:rsid w:val="7C304A31"/>
    <w:rsid w:val="7C8D3DAD"/>
    <w:rsid w:val="7D9B14E2"/>
    <w:rsid w:val="7DAA32A9"/>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1"/>
    <w:qFormat/>
    <w:uiPriority w:val="99"/>
    <w:rPr>
      <w:sz w:val="28"/>
      <w:szCs w:val="28"/>
    </w:rPr>
  </w:style>
  <w:style w:type="paragraph" w:styleId="6">
    <w:name w:val="Body Text Indent"/>
    <w:basedOn w:val="1"/>
    <w:next w:val="5"/>
    <w:unhideWhenUsed/>
    <w:qFormat/>
    <w:uiPriority w:val="99"/>
    <w:pPr>
      <w:spacing w:after="120"/>
      <w:ind w:left="420" w:leftChars="200"/>
    </w:pPr>
  </w:style>
  <w:style w:type="paragraph" w:styleId="7">
    <w:name w:val="Plain Text"/>
    <w:basedOn w:val="1"/>
    <w:qFormat/>
    <w:uiPriority w:val="0"/>
    <w:rPr>
      <w:rFonts w:ascii="宋体" w:hAnsi="Courier New" w:cs="Courier New"/>
      <w:szCs w:val="21"/>
    </w:rPr>
  </w:style>
  <w:style w:type="paragraph" w:styleId="8">
    <w:name w:val="Body Text Indent 2"/>
    <w:basedOn w:val="1"/>
    <w:qFormat/>
    <w:uiPriority w:val="0"/>
    <w:pPr>
      <w:spacing w:before="100" w:beforeAutospacing="1" w:after="100" w:afterAutospacing="1"/>
      <w:ind w:firstLine="602" w:firstLineChars="215"/>
    </w:pPr>
    <w:rPr>
      <w:color w:val="000000"/>
      <w:sz w:val="28"/>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5"/>
    <w:qFormat/>
    <w:uiPriority w:val="0"/>
    <w:pPr>
      <w:spacing w:after="120"/>
      <w:ind w:firstLine="420" w:firstLineChars="100"/>
    </w:pPr>
  </w:style>
  <w:style w:type="paragraph" w:styleId="16">
    <w:name w:val="Body Text First Indent 2"/>
    <w:basedOn w:val="6"/>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7</Pages>
  <Words>703</Words>
  <Characters>880</Characters>
  <Lines>74</Lines>
  <Paragraphs>21</Paragraphs>
  <TotalTime>0</TotalTime>
  <ScaleCrop>false</ScaleCrop>
  <LinksUpToDate>false</LinksUpToDate>
  <CharactersWithSpaces>887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2025-08-14T07:41:42Z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C288ABB820E646B4B580E1F08FEDA8B3</vt:lpwstr>
  </property>
  <property fmtid="{D5CDD505-2E9C-101B-9397-08002B2CF9AE}" pid="4" name="KSOTemplateDocerSaveRecord">
    <vt:lpwstr>eyJoZGlkIjoiNDgzMjdiZTZhYWEwMDUyMzMwMzdhZWM2ZmNjMGMzMDkiLCJ1c2VySWQiOiI1NzcyNjAwMzgifQ==</vt:lpwstr>
  </property>
</Properties>
</file>