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73" w:rsidRDefault="00896F6A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安全评价项目信息表</w:t>
      </w:r>
    </w:p>
    <w:p w:rsidR="00D83D73" w:rsidRDefault="00896F6A">
      <w:pPr>
        <w:rPr>
          <w:szCs w:val="21"/>
        </w:rPr>
      </w:pPr>
      <w:r>
        <w:rPr>
          <w:rFonts w:hint="eastAsia"/>
          <w:szCs w:val="21"/>
        </w:rPr>
        <w:t>项目编号：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1526"/>
        <w:gridCol w:w="2494"/>
        <w:gridCol w:w="2349"/>
        <w:gridCol w:w="2917"/>
      </w:tblGrid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7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宁阳县保安煤矿加油站改建扩建项目安全设施竣工验收评价报告</w:t>
            </w:r>
          </w:p>
        </w:tc>
      </w:tr>
      <w:tr w:rsidR="00D83D73" w:rsidTr="00381E81">
        <w:trPr>
          <w:trHeight w:val="966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项目简介</w:t>
            </w:r>
          </w:p>
        </w:tc>
        <w:tc>
          <w:tcPr>
            <w:tcW w:w="7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Pr="00AF6E2D" w:rsidRDefault="00896F6A">
            <w:pPr>
              <w:adjustRightInd w:val="0"/>
              <w:snapToGrid w:val="0"/>
            </w:pPr>
            <w:r>
              <w:rPr>
                <w:rFonts w:hint="eastAsia"/>
              </w:rPr>
              <w:t>该加油站改建扩建项目于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日取得《山东省建设项目备案证明》，项目代码为</w:t>
            </w:r>
            <w:r>
              <w:rPr>
                <w:rFonts w:hint="eastAsia"/>
              </w:rPr>
              <w:t>2502-370921-04-01-386686</w:t>
            </w:r>
            <w:r>
              <w:rPr>
                <w:rFonts w:hint="eastAsia"/>
              </w:rPr>
              <w:t>，建设规模和内容为：该项目位于宁阳县</w:t>
            </w:r>
            <w:proofErr w:type="gramStart"/>
            <w:r>
              <w:rPr>
                <w:rFonts w:hint="eastAsia"/>
              </w:rPr>
              <w:t>堽</w:t>
            </w:r>
            <w:proofErr w:type="gramEnd"/>
            <w:r>
              <w:rPr>
                <w:rFonts w:hint="eastAsia"/>
              </w:rPr>
              <w:t>城镇保安村（保安矿院内）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经度</w:t>
            </w:r>
            <w:r>
              <w:rPr>
                <w:rFonts w:hint="eastAsia"/>
              </w:rPr>
              <w:t>116.828015</w:t>
            </w:r>
            <w:r>
              <w:rPr>
                <w:rFonts w:hint="eastAsia"/>
              </w:rPr>
              <w:t>，纬度</w:t>
            </w:r>
            <w:r>
              <w:rPr>
                <w:rFonts w:hint="eastAsia"/>
              </w:rPr>
              <w:t>35.807095)</w:t>
            </w:r>
            <w:r>
              <w:rPr>
                <w:rFonts w:hint="eastAsia"/>
              </w:rPr>
              <w:t>，现有汽油加油机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台，柴油加油机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台，埋地储油罐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座，现对加油站开口进行改造，油罐位置及容量进</w:t>
            </w:r>
            <w:r>
              <w:rPr>
                <w:rFonts w:hint="eastAsia"/>
              </w:rPr>
              <w:t>行改造并增加一座加油罐，改造后共有三座加油罐，主要销售汽油</w:t>
            </w:r>
            <w:r>
              <w:rPr>
                <w:rFonts w:hint="eastAsia"/>
              </w:rPr>
              <w:t>(92#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95#)</w:t>
            </w:r>
            <w:r>
              <w:rPr>
                <w:rFonts w:hint="eastAsia"/>
              </w:rPr>
              <w:t>及柴油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-10)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项目改扩建后增设一台</w:t>
            </w:r>
            <w:r>
              <w:rPr>
                <w:rFonts w:hint="eastAsia"/>
              </w:rPr>
              <w:t>30m</w:t>
            </w:r>
            <w:r>
              <w:rPr>
                <w:rFonts w:hint="eastAsia"/>
              </w:rPr>
              <w:t>³的</w:t>
            </w:r>
            <w:r>
              <w:rPr>
                <w:rFonts w:hint="eastAsia"/>
              </w:rPr>
              <w:t>92#</w:t>
            </w:r>
            <w:r>
              <w:rPr>
                <w:rFonts w:hint="eastAsia"/>
              </w:rPr>
              <w:t>汽油双层储罐，并将原有</w:t>
            </w:r>
            <w:r>
              <w:rPr>
                <w:rFonts w:hint="eastAsia"/>
              </w:rPr>
              <w:t>95#</w:t>
            </w:r>
            <w:r>
              <w:rPr>
                <w:rFonts w:hint="eastAsia"/>
              </w:rPr>
              <w:t>汽油单枪自吸式加油机更换为双枪双油品自吸式加油机，工艺管线重新敷设；储罐区由站区西侧移至站区东侧，并增设一处加油油气回收集液器；新建通气管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根（含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根油气回收处理装置通气管）；站区东侧新建消防器材箱；将原站区北侧的出入口迁移至站区西南侧，连接山东华宁矿业集团东南门外侧的出厂道路；罩棚</w:t>
            </w:r>
            <w:proofErr w:type="gramStart"/>
            <w:r>
              <w:rPr>
                <w:rFonts w:hint="eastAsia"/>
              </w:rPr>
              <w:t>利旧面积</w:t>
            </w:r>
            <w:proofErr w:type="gramEnd"/>
            <w:r>
              <w:rPr>
                <w:rFonts w:hint="eastAsia"/>
              </w:rPr>
              <w:t>不变；站房</w:t>
            </w:r>
            <w:proofErr w:type="gramStart"/>
            <w:r>
              <w:rPr>
                <w:rFonts w:hint="eastAsia"/>
              </w:rPr>
              <w:t>利旧面积</w:t>
            </w:r>
            <w:proofErr w:type="gramEnd"/>
            <w:r>
              <w:rPr>
                <w:rFonts w:hint="eastAsia"/>
              </w:rPr>
              <w:t>不变；值班室</w:t>
            </w:r>
            <w:proofErr w:type="gramStart"/>
            <w:r>
              <w:rPr>
                <w:rFonts w:hint="eastAsia"/>
              </w:rPr>
              <w:t>利旧面积</w:t>
            </w:r>
            <w:proofErr w:type="gramEnd"/>
            <w:r>
              <w:rPr>
                <w:rFonts w:hint="eastAsia"/>
              </w:rPr>
              <w:t>不变；新建</w:t>
            </w:r>
            <w:proofErr w:type="gramStart"/>
            <w:r>
              <w:rPr>
                <w:rFonts w:hint="eastAsia"/>
              </w:rPr>
              <w:t>液位仪探</w:t>
            </w:r>
            <w:r>
              <w:rPr>
                <w:rFonts w:hint="eastAsia"/>
              </w:rPr>
              <w:t>棒</w:t>
            </w:r>
            <w:proofErr w:type="gramEnd"/>
            <w:r>
              <w:rPr>
                <w:rFonts w:hint="eastAsia"/>
              </w:rPr>
              <w:t>、双层油罐及双层管道防渗漏监测系统（监控器依托原有）；新建室内外紧急切断系统、视频监控系统、可燃气体报警系统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评价人员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马琳琳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项目组成员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刘卫国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赵云峰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报告编制人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马琳琳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报告审核人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赵燕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过程控制负责人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刘云红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技术负责人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孙虎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技术专家</w:t>
            </w:r>
          </w:p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或有关技术人员</w:t>
            </w: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84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到现场开展安全</w:t>
            </w:r>
          </w:p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评价工作情况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到现场主要人员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主要任务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2025.2.10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马琳琳辛磊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初访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2025.5.27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马琳琳辛磊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现场考察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2025.5.29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马琳琳辛磊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现场检查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D83D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2025.5.30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马琳琳辛磊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现场核查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92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安全评价报告提交时间：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2025.6.11</w:t>
            </w:r>
          </w:p>
        </w:tc>
      </w:tr>
      <w:tr w:rsidR="00D83D73" w:rsidTr="00381E81">
        <w:trPr>
          <w:trHeight w:val="283"/>
          <w:jc w:val="center"/>
        </w:trPr>
        <w:tc>
          <w:tcPr>
            <w:tcW w:w="92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83D73" w:rsidRDefault="00896F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有必要公开的其它内容：</w:t>
            </w:r>
          </w:p>
        </w:tc>
      </w:tr>
    </w:tbl>
    <w:p w:rsidR="00D83D73" w:rsidRDefault="00D83D73">
      <w:pPr>
        <w:adjustRightInd w:val="0"/>
        <w:snapToGrid w:val="0"/>
        <w:spacing w:beforeLines="150" w:before="468" w:afterLines="50" w:after="156" w:line="360" w:lineRule="auto"/>
        <w:jc w:val="center"/>
        <w:outlineLvl w:val="0"/>
        <w:rPr>
          <w:rFonts w:ascii="黑体" w:eastAsia="黑体" w:hAnsi="Times New Roman" w:cs="Times New Roman"/>
          <w:b/>
          <w:bCs/>
          <w:color w:val="000000"/>
          <w:spacing w:val="6"/>
          <w:sz w:val="32"/>
          <w:szCs w:val="32"/>
        </w:rPr>
        <w:sectPr w:rsidR="00D83D73" w:rsidSect="00381E81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  <w:bookmarkStart w:id="1" w:name="_Toc18726"/>
    </w:p>
    <w:p w:rsidR="00D83D73" w:rsidRDefault="00896F6A" w:rsidP="00AF6E2D">
      <w:pPr>
        <w:rPr>
          <w:rFonts w:ascii="黑体" w:eastAsia="黑体" w:hAnsi="Times New Roman" w:cs="Times New Roman"/>
          <w:color w:val="000000"/>
          <w:spacing w:val="6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bCs/>
          <w:color w:val="000000"/>
          <w:spacing w:val="6"/>
          <w:sz w:val="32"/>
          <w:szCs w:val="32"/>
        </w:rPr>
        <w:br w:type="page"/>
      </w:r>
      <w:r>
        <w:rPr>
          <w:rFonts w:ascii="黑体" w:eastAsia="黑体" w:hAnsi="Times New Roman" w:cs="Times New Roman" w:hint="eastAsia"/>
          <w:b/>
          <w:bCs/>
          <w:color w:val="000000"/>
          <w:spacing w:val="6"/>
          <w:sz w:val="32"/>
          <w:szCs w:val="32"/>
        </w:rPr>
        <w:lastRenderedPageBreak/>
        <w:t xml:space="preserve">2 </w:t>
      </w:r>
      <w:r>
        <w:rPr>
          <w:rFonts w:ascii="黑体" w:eastAsia="黑体" w:hAnsi="Times New Roman" w:cs="Times New Roman" w:hint="eastAsia"/>
          <w:b/>
          <w:bCs/>
          <w:color w:val="000000"/>
          <w:spacing w:val="6"/>
          <w:sz w:val="32"/>
          <w:szCs w:val="32"/>
        </w:rPr>
        <w:t>建设项目概况</w:t>
      </w:r>
      <w:bookmarkEnd w:id="1"/>
    </w:p>
    <w:p w:rsidR="00D83D73" w:rsidRDefault="00896F6A">
      <w:pPr>
        <w:adjustRightInd w:val="0"/>
        <w:snapToGrid w:val="0"/>
        <w:spacing w:line="360" w:lineRule="auto"/>
        <w:ind w:firstLineChars="200" w:firstLine="643"/>
        <w:jc w:val="center"/>
        <w:rPr>
          <w:rFonts w:ascii="楷体_GB2312" w:eastAsia="楷体_GB2312" w:hAnsi="Arial" w:cs="Times New Roman"/>
          <w:b/>
          <w:bCs/>
          <w:color w:val="000000"/>
          <w:sz w:val="32"/>
          <w:szCs w:val="32"/>
        </w:rPr>
      </w:pPr>
      <w:bookmarkStart w:id="2" w:name="_Toc13497"/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t xml:space="preserve">2.1 </w:t>
      </w:r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t>建设单位简介</w:t>
      </w:r>
      <w:bookmarkEnd w:id="2"/>
    </w:p>
    <w:p w:rsidR="00D83D73" w:rsidRDefault="00896F6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宁阳县保安煤矿加油站位于宁阳县</w:t>
      </w:r>
      <w:proofErr w:type="gramStart"/>
      <w:r>
        <w:rPr>
          <w:rFonts w:ascii="宋体" w:hAnsi="宋体" w:hint="eastAsia"/>
          <w:sz w:val="28"/>
          <w:szCs w:val="28"/>
        </w:rPr>
        <w:t>罡</w:t>
      </w:r>
      <w:proofErr w:type="gramEnd"/>
      <w:r>
        <w:rPr>
          <w:rFonts w:ascii="宋体" w:hAnsi="宋体" w:hint="eastAsia"/>
          <w:sz w:val="28"/>
          <w:szCs w:val="28"/>
        </w:rPr>
        <w:t>城镇保安村（保安煤矿），法定代表人为刘德友，许可范围为汽油、柴油的零售业务。加油站北侧为煤场磅房、煤仓，东北侧为保安煤矿办公楼，南侧为民房，西侧为进厂区道路、仓库、辅助用房，东侧为</w:t>
      </w:r>
      <w:r>
        <w:rPr>
          <w:rFonts w:ascii="宋体" w:hAnsi="宋体" w:hint="eastAsia"/>
          <w:sz w:val="28"/>
          <w:szCs w:val="28"/>
        </w:rPr>
        <w:t>G342</w:t>
      </w:r>
      <w:r>
        <w:rPr>
          <w:rFonts w:ascii="宋体" w:hAnsi="宋体" w:hint="eastAsia"/>
          <w:sz w:val="28"/>
          <w:szCs w:val="28"/>
        </w:rPr>
        <w:t>（华宁大道），交通十分便利。</w:t>
      </w:r>
    </w:p>
    <w:p w:rsidR="00D83D73" w:rsidRDefault="00896F6A">
      <w:pPr>
        <w:adjustRightInd w:val="0"/>
        <w:snapToGrid w:val="0"/>
        <w:spacing w:line="360" w:lineRule="auto"/>
        <w:ind w:firstLineChars="200" w:firstLine="560"/>
        <w:rPr>
          <w:rFonts w:ascii="宋体"/>
        </w:rPr>
      </w:pPr>
      <w:r>
        <w:rPr>
          <w:rFonts w:ascii="宋体" w:hAnsi="宋体" w:hint="eastAsia"/>
          <w:sz w:val="28"/>
          <w:szCs w:val="28"/>
        </w:rPr>
        <w:t>该项目劳动定员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人，依托原有人员，其中主要负责人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人，安全生产管理员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人。主要负责人和安全生产管理人员已参加了危险化学品安全管理培训，并取得考核合格证</w:t>
      </w:r>
      <w:r>
        <w:rPr>
          <w:rFonts w:ascii="宋体" w:hAnsi="宋体" w:hint="eastAsia"/>
          <w:sz w:val="28"/>
        </w:rPr>
        <w:t>。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该站原只对矿内自用车辆加油，不对外销售，现因经营需要，对外销售，故对加油站出入口、储罐位置、加油机进行改造：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加油区：更换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台双枪双油品（</w:t>
      </w:r>
      <w:r>
        <w:rPr>
          <w:rFonts w:ascii="宋体" w:hAnsi="宋体" w:hint="eastAsia"/>
          <w:szCs w:val="28"/>
        </w:rPr>
        <w:t>92#</w:t>
      </w:r>
      <w:r>
        <w:rPr>
          <w:rFonts w:ascii="宋体" w:hAnsi="宋体" w:hint="eastAsia"/>
          <w:szCs w:val="28"/>
        </w:rPr>
        <w:t>、</w:t>
      </w:r>
      <w:r>
        <w:rPr>
          <w:rFonts w:ascii="宋体" w:hAnsi="宋体" w:hint="eastAsia"/>
          <w:szCs w:val="28"/>
        </w:rPr>
        <w:t>95#</w:t>
      </w:r>
      <w:r>
        <w:rPr>
          <w:rFonts w:ascii="宋体" w:hAnsi="宋体" w:hint="eastAsia"/>
          <w:szCs w:val="28"/>
        </w:rPr>
        <w:t>）自吸式加油机、依托原有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台单枪柴油自吸式加油机；加油</w:t>
      </w:r>
      <w:proofErr w:type="gramStart"/>
      <w:r>
        <w:rPr>
          <w:rFonts w:ascii="宋体" w:hAnsi="宋体" w:hint="eastAsia"/>
          <w:szCs w:val="28"/>
        </w:rPr>
        <w:t>岛利旧</w:t>
      </w:r>
      <w:proofErr w:type="gramEnd"/>
      <w:r>
        <w:rPr>
          <w:rFonts w:ascii="宋体" w:hAnsi="宋体" w:hint="eastAsia"/>
          <w:szCs w:val="28"/>
        </w:rPr>
        <w:t>。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罩棚：利旧，面积不变。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储罐区：拆除原有罐区，在站区东侧</w:t>
      </w:r>
      <w:proofErr w:type="gramStart"/>
      <w:r>
        <w:rPr>
          <w:rFonts w:ascii="宋体" w:hAnsi="宋体" w:hint="eastAsia"/>
          <w:szCs w:val="28"/>
        </w:rPr>
        <w:t>新建非</w:t>
      </w:r>
      <w:proofErr w:type="gramEnd"/>
      <w:r>
        <w:rPr>
          <w:rFonts w:ascii="宋体" w:hAnsi="宋体" w:hint="eastAsia"/>
          <w:szCs w:val="28"/>
        </w:rPr>
        <w:t>承重罐区一座，设</w:t>
      </w:r>
      <w:r>
        <w:rPr>
          <w:rFonts w:ascii="宋体" w:hAnsi="宋体" w:hint="eastAsia"/>
          <w:szCs w:val="28"/>
        </w:rPr>
        <w:t>3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30m3</w:t>
      </w:r>
      <w:r>
        <w:rPr>
          <w:rFonts w:ascii="宋体" w:hAnsi="宋体" w:hint="eastAsia"/>
          <w:szCs w:val="28"/>
        </w:rPr>
        <w:t>双层储罐（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92#</w:t>
      </w:r>
      <w:r>
        <w:rPr>
          <w:rFonts w:ascii="宋体" w:hAnsi="宋体" w:hint="eastAsia"/>
          <w:szCs w:val="28"/>
        </w:rPr>
        <w:t>汽油储罐、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95#</w:t>
      </w:r>
      <w:r>
        <w:rPr>
          <w:rFonts w:ascii="宋体" w:hAnsi="宋体" w:hint="eastAsia"/>
          <w:szCs w:val="28"/>
        </w:rPr>
        <w:t>汽油储罐、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台柴油储罐）并敷设工艺管线；</w:t>
      </w:r>
      <w:proofErr w:type="gramStart"/>
      <w:r>
        <w:rPr>
          <w:rFonts w:ascii="宋体" w:hAnsi="宋体" w:hint="eastAsia"/>
          <w:szCs w:val="28"/>
        </w:rPr>
        <w:t>新增集液器</w:t>
      </w:r>
      <w:proofErr w:type="gramEnd"/>
      <w:r>
        <w:rPr>
          <w:rFonts w:ascii="宋体" w:hAnsi="宋体" w:hint="eastAsia"/>
          <w:szCs w:val="28"/>
        </w:rPr>
        <w:t>、油品卸车点、通气管</w:t>
      </w:r>
      <w:r>
        <w:rPr>
          <w:rFonts w:ascii="宋体" w:hAnsi="宋体" w:hint="eastAsia"/>
          <w:szCs w:val="28"/>
        </w:rPr>
        <w:t>3</w:t>
      </w:r>
      <w:r>
        <w:rPr>
          <w:rFonts w:ascii="宋体" w:hAnsi="宋体" w:hint="eastAsia"/>
          <w:szCs w:val="28"/>
        </w:rPr>
        <w:t>根（位于罐区内，含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根油气回收装置通气管）；依托原有三次油气回收装置（冷凝吸附装置）。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站房：利旧，面积不变；值班室：利旧，面积不变。站房西侧房屋为闲置。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  <w:vertAlign w:val="superscript"/>
        </w:rPr>
      </w:pPr>
      <w:r>
        <w:rPr>
          <w:rFonts w:ascii="宋体" w:hAnsi="宋体" w:hint="eastAsia"/>
          <w:szCs w:val="28"/>
        </w:rPr>
        <w:t>该站油罐区新建，总罐容为</w:t>
      </w:r>
      <w:r>
        <w:rPr>
          <w:rFonts w:ascii="宋体" w:hAnsi="宋体" w:hint="eastAsia"/>
          <w:szCs w:val="28"/>
        </w:rPr>
        <w:t>90m</w:t>
      </w:r>
      <w:r>
        <w:rPr>
          <w:rFonts w:ascii="宋体" w:hAnsi="宋体" w:hint="eastAsia"/>
          <w:szCs w:val="28"/>
        </w:rPr>
        <w:t>³，柴油折半计入总容积为</w:t>
      </w:r>
      <w:r>
        <w:rPr>
          <w:rFonts w:ascii="宋体" w:hAnsi="宋体" w:hint="eastAsia"/>
          <w:szCs w:val="28"/>
        </w:rPr>
        <w:t>75m</w:t>
      </w:r>
      <w:r>
        <w:rPr>
          <w:rFonts w:ascii="宋体" w:hAnsi="宋体" w:hint="eastAsia"/>
          <w:szCs w:val="28"/>
        </w:rPr>
        <w:t>³。根据《汽车加油加气加氢站技术标准》（</w:t>
      </w:r>
      <w:r>
        <w:rPr>
          <w:rFonts w:ascii="宋体" w:hAnsi="宋体" w:hint="eastAsia"/>
          <w:szCs w:val="28"/>
        </w:rPr>
        <w:t>GB50156-2021</w:t>
      </w:r>
      <w:r>
        <w:rPr>
          <w:rFonts w:ascii="宋体" w:hAnsi="宋体" w:hint="eastAsia"/>
          <w:szCs w:val="28"/>
        </w:rPr>
        <w:t>）表</w:t>
      </w:r>
      <w:r>
        <w:rPr>
          <w:rFonts w:ascii="宋体" w:hAnsi="宋体" w:hint="eastAsia"/>
          <w:szCs w:val="28"/>
        </w:rPr>
        <w:t>3.0.9</w:t>
      </w:r>
      <w:r>
        <w:rPr>
          <w:rFonts w:ascii="宋体" w:hAnsi="宋体" w:hint="eastAsia"/>
          <w:szCs w:val="28"/>
        </w:rPr>
        <w:t>条规定：本站为三级加油站</w:t>
      </w:r>
      <w:r>
        <w:rPr>
          <w:rFonts w:ascii="宋体" w:hint="eastAsia"/>
        </w:rPr>
        <w:t>。</w:t>
      </w:r>
    </w:p>
    <w:p w:rsidR="00D83D73" w:rsidRDefault="00896F6A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 w:hAnsi="宋体"/>
        </w:rPr>
      </w:pPr>
      <w:r>
        <w:rPr>
          <w:rFonts w:ascii="宋体" w:hAnsi="宋体" w:hint="eastAsia"/>
        </w:rPr>
        <w:t>该站属山东华宁矿业集团有限公司产权，证明见附件。</w:t>
      </w:r>
    </w:p>
    <w:p w:rsidR="00D83D73" w:rsidRDefault="00896F6A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楷体_GB2312" w:eastAsia="楷体_GB2312" w:hAnsi="Arial" w:cs="Times New Roman"/>
          <w:b/>
          <w:bCs/>
          <w:color w:val="000000"/>
          <w:sz w:val="32"/>
          <w:szCs w:val="32"/>
        </w:rPr>
      </w:pPr>
      <w:bookmarkStart w:id="3" w:name="_Toc24253"/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lastRenderedPageBreak/>
        <w:t xml:space="preserve">4.1 </w:t>
      </w:r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t>评价单元划分</w:t>
      </w:r>
      <w:bookmarkEnd w:id="3"/>
    </w:p>
    <w:p w:rsidR="00D83D73" w:rsidRDefault="00896F6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napToGrid w:val="0"/>
          <w:color w:val="000000"/>
          <w:kern w:val="0"/>
          <w:sz w:val="28"/>
          <w:szCs w:val="21"/>
        </w:rPr>
      </w:pP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根据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宁阳县保安煤矿加油站改建扩建项目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的特点，本次安全评价划分为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4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个单元，即安全管理、站址选择及总平面布置、加油工艺及设施、其它设施。</w:t>
      </w:r>
    </w:p>
    <w:p w:rsidR="00D83D73" w:rsidRDefault="00896F6A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楷体_GB2312" w:eastAsia="楷体_GB2312" w:hAnsi="Arial" w:cs="Times New Roman"/>
          <w:b/>
          <w:bCs/>
          <w:color w:val="000000"/>
          <w:sz w:val="32"/>
          <w:szCs w:val="32"/>
        </w:rPr>
      </w:pPr>
      <w:bookmarkStart w:id="4" w:name="_Toc2379"/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t xml:space="preserve">4.2 </w:t>
      </w:r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t>评价方法选择</w:t>
      </w:r>
      <w:bookmarkEnd w:id="4"/>
    </w:p>
    <w:p w:rsidR="00D83D73" w:rsidRDefault="00896F6A">
      <w:pPr>
        <w:adjustRightInd w:val="0"/>
        <w:snapToGrid w:val="0"/>
        <w:spacing w:line="360" w:lineRule="auto"/>
        <w:ind w:firstLineChars="200" w:firstLine="586"/>
        <w:outlineLvl w:val="2"/>
        <w:rPr>
          <w:rFonts w:ascii="黑体" w:eastAsia="黑体" w:hAnsi="宋体" w:cs="Times New Roman"/>
          <w:b/>
          <w:color w:val="000000"/>
          <w:spacing w:val="6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pacing w:val="6"/>
          <w:sz w:val="28"/>
          <w:szCs w:val="28"/>
        </w:rPr>
        <w:t xml:space="preserve">4.2.1 </w:t>
      </w:r>
      <w:r>
        <w:rPr>
          <w:rFonts w:ascii="黑体" w:eastAsia="黑体" w:hAnsi="宋体" w:cs="Times New Roman" w:hint="eastAsia"/>
          <w:b/>
          <w:color w:val="000000"/>
          <w:spacing w:val="6"/>
          <w:sz w:val="28"/>
          <w:szCs w:val="28"/>
        </w:rPr>
        <w:t>评价方法选用表</w:t>
      </w:r>
    </w:p>
    <w:p w:rsidR="00D83D73" w:rsidRDefault="00896F6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napToGrid w:val="0"/>
          <w:color w:val="000000"/>
          <w:kern w:val="0"/>
          <w:sz w:val="28"/>
          <w:szCs w:val="21"/>
        </w:rPr>
      </w:pP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首先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,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我们运用安全检查表的方法对本项目的设计进行检查，确定本项目的总体安全性。然后，根据各评价单元的特点选择适合的评价方法进行评价，具体方法选择见表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4.2-1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。</w:t>
      </w:r>
    </w:p>
    <w:p w:rsidR="00D83D73" w:rsidRDefault="00896F6A">
      <w:pPr>
        <w:pStyle w:val="60"/>
        <w:adjustRightInd w:val="0"/>
        <w:snapToGrid w:val="0"/>
        <w:spacing w:line="360" w:lineRule="auto"/>
        <w:outlineLvl w:val="9"/>
        <w:rPr>
          <w:color w:val="000000"/>
        </w:rPr>
      </w:pPr>
      <w:r>
        <w:rPr>
          <w:rFonts w:hint="eastAsia"/>
          <w:color w:val="000000"/>
        </w:rPr>
        <w:t>表</w:t>
      </w:r>
      <w:r>
        <w:rPr>
          <w:rFonts w:hint="eastAsia"/>
          <w:color w:val="000000"/>
        </w:rPr>
        <w:t xml:space="preserve">4.2-1 </w:t>
      </w:r>
      <w:r>
        <w:rPr>
          <w:rFonts w:hint="eastAsia"/>
          <w:color w:val="000000"/>
        </w:rPr>
        <w:t>评价方法选用表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196"/>
        <w:gridCol w:w="3762"/>
      </w:tblGrid>
      <w:tr w:rsidR="00D83D73">
        <w:trPr>
          <w:trHeight w:val="575"/>
          <w:jc w:val="center"/>
        </w:trPr>
        <w:tc>
          <w:tcPr>
            <w:tcW w:w="125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</w:rPr>
              <w:t>序号</w:t>
            </w:r>
          </w:p>
        </w:tc>
        <w:tc>
          <w:tcPr>
            <w:tcW w:w="1720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</w:rPr>
              <w:t>评价单元名称</w:t>
            </w:r>
          </w:p>
        </w:tc>
        <w:tc>
          <w:tcPr>
            <w:tcW w:w="202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</w:rPr>
              <w:t>采用的评价方法</w:t>
            </w:r>
          </w:p>
        </w:tc>
      </w:tr>
      <w:tr w:rsidR="00D83D73">
        <w:trPr>
          <w:cantSplit/>
          <w:trHeight w:val="448"/>
          <w:jc w:val="center"/>
        </w:trPr>
        <w:tc>
          <w:tcPr>
            <w:tcW w:w="125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  <w:sz w:val="24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</w:rPr>
              <w:t>P</w:t>
            </w: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  <w:vertAlign w:val="subscript"/>
              </w:rPr>
              <w:t>1</w:t>
            </w:r>
          </w:p>
        </w:tc>
        <w:tc>
          <w:tcPr>
            <w:tcW w:w="1720" w:type="pct"/>
            <w:vAlign w:val="center"/>
          </w:tcPr>
          <w:p w:rsidR="00D83D73" w:rsidRDefault="00896F6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pacing w:val="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6"/>
                <w:szCs w:val="28"/>
              </w:rPr>
              <w:t>安全管理</w:t>
            </w:r>
          </w:p>
        </w:tc>
        <w:tc>
          <w:tcPr>
            <w:tcW w:w="202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</w:rPr>
              <w:t>安全检查表</w:t>
            </w:r>
          </w:p>
        </w:tc>
      </w:tr>
      <w:tr w:rsidR="00D83D73">
        <w:trPr>
          <w:cantSplit/>
          <w:trHeight w:val="455"/>
          <w:jc w:val="center"/>
        </w:trPr>
        <w:tc>
          <w:tcPr>
            <w:tcW w:w="125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  <w:sz w:val="24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</w:rPr>
              <w:t>P</w:t>
            </w: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  <w:vertAlign w:val="subscript"/>
              </w:rPr>
              <w:t>2</w:t>
            </w:r>
          </w:p>
        </w:tc>
        <w:tc>
          <w:tcPr>
            <w:tcW w:w="1720" w:type="pct"/>
            <w:vAlign w:val="center"/>
          </w:tcPr>
          <w:p w:rsidR="00D83D73" w:rsidRDefault="00896F6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pacing w:val="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6"/>
                <w:szCs w:val="28"/>
              </w:rPr>
              <w:t>站址选择</w:t>
            </w:r>
            <w:r>
              <w:rPr>
                <w:rFonts w:ascii="宋体" w:eastAsia="宋体" w:hAnsi="宋体" w:cs="Times New Roman" w:hint="eastAsia"/>
                <w:color w:val="000000"/>
                <w:spacing w:val="6"/>
                <w:szCs w:val="21"/>
              </w:rPr>
              <w:t>总平面布置</w:t>
            </w:r>
          </w:p>
        </w:tc>
        <w:tc>
          <w:tcPr>
            <w:tcW w:w="202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</w:rPr>
              <w:t>安全检查表</w:t>
            </w:r>
          </w:p>
        </w:tc>
      </w:tr>
      <w:tr w:rsidR="00D83D73">
        <w:trPr>
          <w:cantSplit/>
          <w:trHeight w:val="475"/>
          <w:jc w:val="center"/>
        </w:trPr>
        <w:tc>
          <w:tcPr>
            <w:tcW w:w="125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  <w:sz w:val="24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</w:rPr>
              <w:t>P</w:t>
            </w: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  <w:vertAlign w:val="subscript"/>
              </w:rPr>
              <w:t>3</w:t>
            </w:r>
          </w:p>
        </w:tc>
        <w:tc>
          <w:tcPr>
            <w:tcW w:w="1720" w:type="pct"/>
            <w:vAlign w:val="center"/>
          </w:tcPr>
          <w:p w:rsidR="00D83D73" w:rsidRDefault="00896F6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pacing w:val="6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6"/>
                <w:szCs w:val="28"/>
              </w:rPr>
              <w:t>加油工艺及设施</w:t>
            </w:r>
          </w:p>
        </w:tc>
        <w:tc>
          <w:tcPr>
            <w:tcW w:w="202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  <w:szCs w:val="21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  <w:szCs w:val="21"/>
              </w:rPr>
              <w:t>安全检查表、</w:t>
            </w:r>
            <w:r>
              <w:rPr>
                <w:rFonts w:ascii="宋体" w:hAnsi="宋体" w:hint="eastAsia"/>
                <w:snapToGrid/>
                <w:color w:val="000000"/>
                <w:kern w:val="2"/>
                <w:szCs w:val="21"/>
              </w:rPr>
              <w:t>PHA</w:t>
            </w:r>
            <w:r>
              <w:rPr>
                <w:rFonts w:ascii="宋体" w:hAnsi="宋体" w:hint="eastAsia"/>
                <w:snapToGrid/>
                <w:color w:val="000000"/>
                <w:kern w:val="2"/>
                <w:szCs w:val="21"/>
              </w:rPr>
              <w:t>、事故树</w:t>
            </w:r>
          </w:p>
        </w:tc>
      </w:tr>
      <w:tr w:rsidR="00D83D73">
        <w:trPr>
          <w:cantSplit/>
          <w:trHeight w:val="439"/>
          <w:jc w:val="center"/>
        </w:trPr>
        <w:tc>
          <w:tcPr>
            <w:tcW w:w="1254" w:type="pct"/>
            <w:vAlign w:val="center"/>
          </w:tcPr>
          <w:p w:rsidR="00D83D73" w:rsidRDefault="00896F6A">
            <w:pPr>
              <w:pStyle w:val="10"/>
              <w:adjustRightInd w:val="0"/>
              <w:spacing w:line="360" w:lineRule="auto"/>
              <w:rPr>
                <w:rFonts w:ascii="宋体" w:hAnsi="宋体"/>
                <w:snapToGrid/>
                <w:color w:val="000000"/>
                <w:kern w:val="2"/>
                <w:sz w:val="24"/>
              </w:rPr>
            </w:pP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</w:rPr>
              <w:t>P</w:t>
            </w:r>
            <w:r>
              <w:rPr>
                <w:rFonts w:ascii="宋体" w:hAnsi="宋体" w:hint="eastAsia"/>
                <w:snapToGrid/>
                <w:color w:val="000000"/>
                <w:kern w:val="2"/>
                <w:sz w:val="24"/>
                <w:vertAlign w:val="subscript"/>
              </w:rPr>
              <w:t>4</w:t>
            </w:r>
          </w:p>
        </w:tc>
        <w:tc>
          <w:tcPr>
            <w:tcW w:w="1720" w:type="pct"/>
            <w:vAlign w:val="center"/>
          </w:tcPr>
          <w:p w:rsidR="00D83D73" w:rsidRDefault="00896F6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pacing w:val="6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6"/>
                <w:szCs w:val="28"/>
              </w:rPr>
              <w:t>其它设施</w:t>
            </w:r>
          </w:p>
        </w:tc>
        <w:tc>
          <w:tcPr>
            <w:tcW w:w="2024" w:type="pct"/>
            <w:vAlign w:val="center"/>
          </w:tcPr>
          <w:p w:rsidR="00D83D73" w:rsidRDefault="00896F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pacing w:val="6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6"/>
                <w:szCs w:val="21"/>
              </w:rPr>
              <w:t>安全检查表</w:t>
            </w:r>
          </w:p>
        </w:tc>
      </w:tr>
    </w:tbl>
    <w:p w:rsidR="00D83D73" w:rsidRDefault="00896F6A">
      <w:pPr>
        <w:adjustRightInd w:val="0"/>
        <w:snapToGrid w:val="0"/>
        <w:spacing w:line="360" w:lineRule="auto"/>
        <w:ind w:firstLineChars="200" w:firstLine="586"/>
        <w:outlineLvl w:val="2"/>
        <w:rPr>
          <w:rFonts w:ascii="黑体" w:eastAsia="黑体" w:hAnsi="宋体" w:cs="Times New Roman"/>
          <w:b/>
          <w:color w:val="000000"/>
          <w:spacing w:val="6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pacing w:val="6"/>
          <w:sz w:val="28"/>
          <w:szCs w:val="28"/>
        </w:rPr>
        <w:t xml:space="preserve">4.2.2 </w:t>
      </w:r>
      <w:r>
        <w:rPr>
          <w:rFonts w:ascii="黑体" w:eastAsia="黑体" w:hAnsi="宋体" w:cs="Times New Roman" w:hint="eastAsia"/>
          <w:b/>
          <w:color w:val="000000"/>
          <w:spacing w:val="6"/>
          <w:sz w:val="28"/>
          <w:szCs w:val="28"/>
        </w:rPr>
        <w:t>评价方法选用说明</w:t>
      </w:r>
    </w:p>
    <w:p w:rsidR="00D83D73" w:rsidRDefault="00896F6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napToGrid w:val="0"/>
          <w:color w:val="000000"/>
          <w:kern w:val="0"/>
          <w:sz w:val="28"/>
          <w:szCs w:val="21"/>
        </w:rPr>
      </w:pP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（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1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）对上述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4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个评价单元采用安全检查表法，判断设计、安装中涉及的安全设施及对策措施的充分性。</w:t>
      </w:r>
    </w:p>
    <w:p w:rsidR="00D83D73" w:rsidRDefault="00896F6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napToGrid w:val="0"/>
          <w:color w:val="000000"/>
          <w:kern w:val="0"/>
          <w:sz w:val="28"/>
          <w:szCs w:val="21"/>
        </w:rPr>
      </w:pP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（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2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）对上述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4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个评价单元存在的危险、有害因素采用预先危险性分析法（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PHA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），预测各危险、有害因素的固有危险、有害程度。</w:t>
      </w:r>
    </w:p>
    <w:p w:rsidR="00D83D73" w:rsidRDefault="00896F6A" w:rsidP="00AF6E2D">
      <w:pPr>
        <w:pStyle w:val="7"/>
        <w:widowControl w:val="0"/>
        <w:snapToGrid w:val="0"/>
        <w:spacing w:line="360" w:lineRule="auto"/>
        <w:ind w:firstLine="560"/>
      </w:pPr>
      <w:r>
        <w:rPr>
          <w:rFonts w:ascii="宋体" w:eastAsia="宋体" w:hAnsi="宋体" w:hint="eastAsia"/>
          <w:snapToGrid w:val="0"/>
          <w:color w:val="000000"/>
          <w:spacing w:val="0"/>
          <w:kern w:val="0"/>
          <w:sz w:val="28"/>
          <w:szCs w:val="21"/>
        </w:rPr>
        <w:t>（</w:t>
      </w:r>
      <w:r>
        <w:rPr>
          <w:rFonts w:ascii="宋体" w:eastAsia="宋体" w:hAnsi="宋体" w:hint="eastAsia"/>
          <w:snapToGrid w:val="0"/>
          <w:color w:val="000000"/>
          <w:spacing w:val="0"/>
          <w:kern w:val="0"/>
          <w:sz w:val="28"/>
          <w:szCs w:val="21"/>
        </w:rPr>
        <w:t>3</w:t>
      </w:r>
      <w:r>
        <w:rPr>
          <w:rFonts w:ascii="宋体" w:eastAsia="宋体" w:hAnsi="宋体" w:hint="eastAsia"/>
          <w:snapToGrid w:val="0"/>
          <w:color w:val="000000"/>
          <w:spacing w:val="0"/>
          <w:kern w:val="0"/>
          <w:sz w:val="28"/>
          <w:szCs w:val="21"/>
        </w:rPr>
        <w:t>）通过事故树分析详细查明系统各种固有、潜在的危险因素或事故原因，为项目正式运营制定安全技术对策、采取安全管理措施和事故分析提供依据</w:t>
      </w:r>
    </w:p>
    <w:p w:rsidR="00D83D73" w:rsidRDefault="00896F6A">
      <w:pPr>
        <w:rPr>
          <w:rFonts w:ascii="楷体_GB2312" w:eastAsia="楷体_GB2312" w:hAnsi="Arial" w:cs="Times New Roman"/>
          <w:b/>
          <w:bCs/>
          <w:color w:val="000000"/>
          <w:sz w:val="32"/>
          <w:szCs w:val="32"/>
        </w:rPr>
      </w:pPr>
      <w:bookmarkStart w:id="5" w:name="_Toc30305"/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br w:type="page"/>
      </w:r>
    </w:p>
    <w:p w:rsidR="00D83D73" w:rsidRDefault="00896F6A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楷体_GB2312" w:eastAsia="楷体_GB2312" w:hAnsi="Arial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lastRenderedPageBreak/>
        <w:t xml:space="preserve">8.2 </w:t>
      </w:r>
      <w:r>
        <w:rPr>
          <w:rFonts w:ascii="楷体_GB2312" w:eastAsia="楷体_GB2312" w:hAnsi="Arial" w:cs="Times New Roman" w:hint="eastAsia"/>
          <w:b/>
          <w:bCs/>
          <w:color w:val="000000"/>
          <w:sz w:val="32"/>
          <w:szCs w:val="32"/>
        </w:rPr>
        <w:t>存在问题及改进建议</w:t>
      </w:r>
      <w:bookmarkEnd w:id="5"/>
    </w:p>
    <w:p w:rsidR="00D83D73" w:rsidRDefault="00896F6A">
      <w:pPr>
        <w:adjustRightInd w:val="0"/>
        <w:snapToGrid w:val="0"/>
        <w:spacing w:line="360" w:lineRule="auto"/>
        <w:ind w:firstLineChars="200" w:firstLine="586"/>
        <w:jc w:val="center"/>
        <w:outlineLvl w:val="2"/>
        <w:rPr>
          <w:rFonts w:ascii="黑体" w:eastAsia="黑体" w:hAnsi="黑体" w:cs="黑体"/>
          <w:b/>
          <w:color w:val="000000"/>
          <w:spacing w:val="6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pacing w:val="6"/>
          <w:sz w:val="28"/>
          <w:szCs w:val="28"/>
        </w:rPr>
        <w:t>8.2.1</w:t>
      </w:r>
      <w:r>
        <w:rPr>
          <w:rFonts w:ascii="黑体" w:eastAsia="黑体" w:hAnsi="黑体" w:cs="黑体" w:hint="eastAsia"/>
          <w:b/>
          <w:color w:val="000000"/>
          <w:spacing w:val="6"/>
          <w:sz w:val="28"/>
          <w:szCs w:val="28"/>
        </w:rPr>
        <w:t>存在问题</w:t>
      </w:r>
    </w:p>
    <w:p w:rsidR="00D83D73" w:rsidRDefault="00896F6A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color w:val="000000"/>
          <w:sz w:val="24"/>
        </w:rPr>
      </w:pPr>
      <w:r>
        <w:rPr>
          <w:rFonts w:ascii="黑体" w:eastAsia="黑体" w:hAnsi="黑体" w:cs="Times New Roman" w:hint="eastAsia"/>
          <w:color w:val="000000"/>
          <w:sz w:val="24"/>
        </w:rPr>
        <w:t>表</w:t>
      </w:r>
      <w:r>
        <w:rPr>
          <w:rFonts w:ascii="黑体" w:eastAsia="黑体" w:hAnsi="黑体" w:cs="Times New Roman" w:hint="eastAsia"/>
          <w:color w:val="000000"/>
          <w:sz w:val="24"/>
        </w:rPr>
        <w:t xml:space="preserve">8.2-1  </w:t>
      </w:r>
      <w:r>
        <w:rPr>
          <w:rFonts w:ascii="黑体" w:eastAsia="黑体" w:hAnsi="黑体" w:cs="Times New Roman" w:hint="eastAsia"/>
          <w:color w:val="000000"/>
          <w:sz w:val="24"/>
        </w:rPr>
        <w:t>现场存在问题表</w:t>
      </w:r>
    </w:p>
    <w:tbl>
      <w:tblPr>
        <w:tblW w:w="94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698"/>
        <w:gridCol w:w="4903"/>
      </w:tblGrid>
      <w:tr w:rsidR="00D83D73">
        <w:trPr>
          <w:trHeight w:val="523"/>
          <w:tblHeader/>
          <w:jc w:val="center"/>
        </w:trPr>
        <w:tc>
          <w:tcPr>
            <w:tcW w:w="81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spacing w:beforeLines="10" w:before="31" w:afterLines="10" w:after="31"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>序号</w:t>
            </w:r>
          </w:p>
        </w:tc>
        <w:tc>
          <w:tcPr>
            <w:tcW w:w="369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spacing w:beforeLines="10" w:before="31" w:afterLines="10" w:after="31"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>企业存在的问题</w:t>
            </w:r>
          </w:p>
        </w:tc>
        <w:tc>
          <w:tcPr>
            <w:tcW w:w="4903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spacing w:beforeLines="10" w:before="31" w:afterLines="10" w:after="31"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>整改建议措施</w:t>
            </w:r>
          </w:p>
        </w:tc>
      </w:tr>
      <w:tr w:rsidR="00D83D73">
        <w:trPr>
          <w:trHeight w:val="382"/>
          <w:jc w:val="center"/>
        </w:trPr>
        <w:tc>
          <w:tcPr>
            <w:tcW w:w="81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液位仪、测漏仪未设置不间断供电电源；</w:t>
            </w:r>
          </w:p>
        </w:tc>
        <w:tc>
          <w:tcPr>
            <w:tcW w:w="4903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液位仪、测漏仪应设置不间断供电电源；</w:t>
            </w:r>
          </w:p>
        </w:tc>
      </w:tr>
      <w:tr w:rsidR="00D83D73">
        <w:trPr>
          <w:trHeight w:val="382"/>
          <w:jc w:val="center"/>
        </w:trPr>
        <w:tc>
          <w:tcPr>
            <w:tcW w:w="81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>2</w:t>
            </w:r>
          </w:p>
        </w:tc>
        <w:tc>
          <w:tcPr>
            <w:tcW w:w="369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000000"/>
                <w:spacing w:val="6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Times New Roman" w:hint="eastAsia"/>
                <w:spacing w:val="6"/>
                <w:szCs w:val="21"/>
              </w:rPr>
              <w:t>站区内警示标识不完善、人孔井缺少管道介质流向标识、</w:t>
            </w:r>
            <w:proofErr w:type="gramStart"/>
            <w:r>
              <w:rPr>
                <w:rFonts w:ascii="宋体" w:eastAsia="宋体" w:hAnsi="宋体" w:cs="Times New Roman" w:hint="eastAsia"/>
                <w:spacing w:val="6"/>
                <w:szCs w:val="21"/>
              </w:rPr>
              <w:t>通气管未设置</w:t>
            </w:r>
            <w:proofErr w:type="gramEnd"/>
            <w:r>
              <w:rPr>
                <w:rFonts w:ascii="宋体" w:eastAsia="宋体" w:hAnsi="宋体" w:cs="Times New Roman" w:hint="eastAsia"/>
                <w:spacing w:val="6"/>
                <w:szCs w:val="21"/>
              </w:rPr>
              <w:t>油品标识</w:t>
            </w: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；</w:t>
            </w:r>
          </w:p>
        </w:tc>
        <w:tc>
          <w:tcPr>
            <w:tcW w:w="4903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000000"/>
                <w:spacing w:val="6"/>
                <w:kern w:val="0"/>
                <w:szCs w:val="21"/>
                <w:u w:color="000000"/>
              </w:rPr>
            </w:pPr>
            <w:r>
              <w:rPr>
                <w:rFonts w:ascii="宋体" w:eastAsia="宋体" w:hAnsi="宋体" w:cs="Times New Roman" w:hint="eastAsia"/>
                <w:spacing w:val="6"/>
                <w:szCs w:val="21"/>
              </w:rPr>
              <w:t>应完善站区内警示标识、人孔井</w:t>
            </w: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应</w:t>
            </w:r>
            <w:r>
              <w:rPr>
                <w:rFonts w:ascii="宋体" w:eastAsia="宋体" w:hAnsi="宋体" w:cs="Times New Roman" w:hint="eastAsia"/>
                <w:spacing w:val="6"/>
                <w:szCs w:val="21"/>
              </w:rPr>
              <w:t>设置管道介质流向标识、通气管</w:t>
            </w: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应</w:t>
            </w:r>
            <w:r>
              <w:rPr>
                <w:rFonts w:ascii="宋体" w:eastAsia="宋体" w:hAnsi="宋体" w:cs="Times New Roman" w:hint="eastAsia"/>
                <w:spacing w:val="6"/>
                <w:szCs w:val="21"/>
              </w:rPr>
              <w:t>设置油品标识</w:t>
            </w: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；</w:t>
            </w:r>
          </w:p>
        </w:tc>
      </w:tr>
      <w:tr w:rsidR="00D83D73">
        <w:trPr>
          <w:trHeight w:val="382"/>
          <w:jc w:val="center"/>
        </w:trPr>
        <w:tc>
          <w:tcPr>
            <w:tcW w:w="81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6"/>
                <w:kern w:val="0"/>
                <w:position w:val="2"/>
                <w:szCs w:val="21"/>
                <w:u w:color="000000"/>
              </w:rPr>
              <w:t>3</w:t>
            </w:r>
          </w:p>
        </w:tc>
        <w:tc>
          <w:tcPr>
            <w:tcW w:w="3698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Times New Roman"/>
                <w:spacing w:val="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卸油作业区未设置人体静电释放装置。</w:t>
            </w:r>
          </w:p>
        </w:tc>
        <w:tc>
          <w:tcPr>
            <w:tcW w:w="4903" w:type="dxa"/>
            <w:vAlign w:val="center"/>
          </w:tcPr>
          <w:p w:rsidR="00D83D73" w:rsidRDefault="00896F6A">
            <w:pPr>
              <w:widowControl/>
              <w:tabs>
                <w:tab w:val="left" w:pos="6120"/>
              </w:tabs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Times New Roman"/>
                <w:spacing w:val="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6"/>
                <w:kern w:val="0"/>
                <w:szCs w:val="21"/>
                <w:u w:color="000000"/>
              </w:rPr>
              <w:t>卸油作业区应设置人体静电释放装置。</w:t>
            </w:r>
          </w:p>
        </w:tc>
      </w:tr>
    </w:tbl>
    <w:p w:rsidR="00D83D73" w:rsidRDefault="00896F6A">
      <w:pPr>
        <w:ind w:firstLineChars="200" w:firstLine="584"/>
        <w:rPr>
          <w:rFonts w:ascii="宋体"/>
          <w:kern w:val="0"/>
          <w:sz w:val="28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pacing w:val="6"/>
          <w:kern w:val="0"/>
          <w:sz w:val="28"/>
          <w:szCs w:val="20"/>
        </w:rPr>
        <w:t>加油站将上述问题整改合格后，该站的</w:t>
      </w:r>
      <w:r>
        <w:rPr>
          <w:rFonts w:ascii="宋体" w:eastAsia="宋体" w:hAnsi="宋体" w:cs="Times New Roman"/>
          <w:snapToGrid w:val="0"/>
          <w:color w:val="000000"/>
          <w:kern w:val="0"/>
          <w:sz w:val="28"/>
          <w:szCs w:val="21"/>
        </w:rPr>
        <w:t>设备设施、安全管理条件，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符合</w:t>
      </w:r>
      <w:r>
        <w:rPr>
          <w:rFonts w:ascii="宋体" w:eastAsia="宋体" w:hAnsi="宋体" w:cs="Times New Roman"/>
          <w:snapToGrid w:val="0"/>
          <w:color w:val="000000"/>
          <w:kern w:val="0"/>
          <w:sz w:val="28"/>
          <w:szCs w:val="21"/>
        </w:rPr>
        <w:t>有关法规、规范和标准的要求，单位</w:t>
      </w:r>
      <w:r>
        <w:rPr>
          <w:rFonts w:ascii="宋体" w:eastAsia="宋体" w:hAnsi="宋体" w:cs="Times New Roman" w:hint="eastAsia"/>
          <w:snapToGrid w:val="0"/>
          <w:color w:val="000000"/>
          <w:kern w:val="0"/>
          <w:sz w:val="28"/>
          <w:szCs w:val="21"/>
        </w:rPr>
        <w:t>在后期经营活动中还要加强各项管理制度的落实。</w:t>
      </w:r>
      <w:r>
        <w:rPr>
          <w:rFonts w:ascii="黑体" w:eastAsia="黑体" w:hAnsi="黑体" w:cs="黑体" w:hint="eastAsia"/>
          <w:b/>
          <w:color w:val="000000"/>
          <w:spacing w:val="6"/>
          <w:sz w:val="28"/>
          <w:szCs w:val="28"/>
        </w:rPr>
        <w:br w:type="page"/>
      </w:r>
      <w:r>
        <w:rPr>
          <w:rFonts w:ascii="宋体"/>
          <w:noProof/>
          <w:kern w:val="0"/>
          <w:sz w:val="28"/>
          <w:szCs w:val="20"/>
        </w:rPr>
        <w:lastRenderedPageBreak/>
        <w:drawing>
          <wp:inline distT="0" distB="0" distL="114300" distR="114300">
            <wp:extent cx="4973320" cy="3724275"/>
            <wp:effectExtent l="0" t="0" r="17780" b="9525"/>
            <wp:docPr id="8" name="图片 8" descr="微信图片_2025060308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603083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noProof/>
          <w:kern w:val="0"/>
          <w:sz w:val="28"/>
          <w:szCs w:val="20"/>
        </w:rPr>
        <w:drawing>
          <wp:inline distT="0" distB="0" distL="114300" distR="114300">
            <wp:extent cx="5368925" cy="4023360"/>
            <wp:effectExtent l="0" t="0" r="3175" b="15240"/>
            <wp:docPr id="9" name="图片 9" descr="微信图片_2025060308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603083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kern w:val="0"/>
          <w:sz w:val="28"/>
          <w:szCs w:val="20"/>
        </w:rPr>
        <w:br w:type="page"/>
      </w:r>
      <w:r>
        <w:rPr>
          <w:rFonts w:ascii="宋体"/>
          <w:noProof/>
          <w:kern w:val="0"/>
          <w:sz w:val="28"/>
          <w:szCs w:val="20"/>
        </w:rPr>
        <w:lastRenderedPageBreak/>
        <w:drawing>
          <wp:inline distT="0" distB="0" distL="114300" distR="114300">
            <wp:extent cx="2396490" cy="3600450"/>
            <wp:effectExtent l="0" t="0" r="3810" b="0"/>
            <wp:docPr id="11" name="图片 11" descr="1c8967861d7a39ca03371b1c0927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c8967861d7a39ca03371b1c09277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noProof/>
          <w:kern w:val="0"/>
          <w:sz w:val="28"/>
          <w:szCs w:val="20"/>
        </w:rPr>
        <w:drawing>
          <wp:inline distT="0" distB="0" distL="114300" distR="114300">
            <wp:extent cx="2379980" cy="3535680"/>
            <wp:effectExtent l="0" t="0" r="1270" b="7620"/>
            <wp:docPr id="10" name="图片 10" descr="a3558a74db70ecd07287116c5b0d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3558a74db70ecd07287116c5b0dc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noProof/>
          <w:kern w:val="0"/>
          <w:sz w:val="28"/>
          <w:szCs w:val="20"/>
        </w:rPr>
        <w:drawing>
          <wp:inline distT="0" distB="0" distL="114300" distR="114300">
            <wp:extent cx="2783840" cy="4305300"/>
            <wp:effectExtent l="0" t="0" r="0" b="0"/>
            <wp:docPr id="12" name="图片 12" descr="847c1338a05bf01b24774af4c58a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47c1338a05bf01b24774af4c58a1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noProof/>
          <w:kern w:val="0"/>
          <w:sz w:val="28"/>
          <w:szCs w:val="20"/>
        </w:rPr>
        <w:drawing>
          <wp:inline distT="0" distB="0" distL="114300" distR="114300">
            <wp:extent cx="2857500" cy="4144010"/>
            <wp:effectExtent l="0" t="0" r="0" b="8890"/>
            <wp:docPr id="13" name="图片 13" descr="50dc6d170269faf4fcae7ff327f2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0dc6d170269faf4fcae7ff327f21a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73" w:rsidRDefault="00896F6A">
      <w:pPr>
        <w:ind w:firstLineChars="200" w:firstLine="560"/>
        <w:rPr>
          <w:rFonts w:ascii="宋体"/>
          <w:kern w:val="0"/>
          <w:sz w:val="28"/>
          <w:szCs w:val="20"/>
        </w:rPr>
      </w:pPr>
      <w:r>
        <w:rPr>
          <w:rFonts w:ascii="宋体"/>
          <w:noProof/>
          <w:kern w:val="0"/>
          <w:sz w:val="28"/>
          <w:szCs w:val="20"/>
        </w:rPr>
        <w:lastRenderedPageBreak/>
        <w:drawing>
          <wp:inline distT="0" distB="0" distL="114300" distR="114300">
            <wp:extent cx="2057400" cy="2945765"/>
            <wp:effectExtent l="0" t="0" r="0" b="6985"/>
            <wp:docPr id="14" name="图片 14" descr="a2bdb41f2c080ee97abf5398724d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2bdb41f2c080ee97abf5398724ddc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kern w:val="0"/>
          <w:sz w:val="28"/>
          <w:szCs w:val="20"/>
        </w:rPr>
        <w:t xml:space="preserve">        </w:t>
      </w:r>
      <w:r>
        <w:rPr>
          <w:rFonts w:ascii="宋体"/>
          <w:noProof/>
          <w:kern w:val="0"/>
          <w:sz w:val="28"/>
          <w:szCs w:val="20"/>
        </w:rPr>
        <w:drawing>
          <wp:inline distT="0" distB="0" distL="114300" distR="114300">
            <wp:extent cx="2155190" cy="3061970"/>
            <wp:effectExtent l="0" t="0" r="16510" b="5080"/>
            <wp:docPr id="15" name="图片 15" descr="d3cd5fb27235eb7bb2922081a341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3cd5fb27235eb7bb2922081a3410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73" w:rsidRDefault="00D83D73">
      <w:pPr>
        <w:ind w:firstLineChars="200" w:firstLine="560"/>
        <w:rPr>
          <w:rFonts w:ascii="宋体"/>
          <w:kern w:val="0"/>
          <w:sz w:val="28"/>
          <w:szCs w:val="20"/>
        </w:rPr>
      </w:pPr>
    </w:p>
    <w:sectPr w:rsidR="00D83D73">
      <w:type w:val="continuous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WMwZmRjMzZlYzM2NWRiYjJmYjFkYTJjZWJiMTcifQ=="/>
  </w:docVars>
  <w:rsids>
    <w:rsidRoot w:val="35CC29B8"/>
    <w:rsid w:val="001C6166"/>
    <w:rsid w:val="00302E59"/>
    <w:rsid w:val="003249B4"/>
    <w:rsid w:val="00381E81"/>
    <w:rsid w:val="00896F6A"/>
    <w:rsid w:val="00947A70"/>
    <w:rsid w:val="00AF6E2D"/>
    <w:rsid w:val="00D83D73"/>
    <w:rsid w:val="03CC63D7"/>
    <w:rsid w:val="04F76473"/>
    <w:rsid w:val="07A11E1A"/>
    <w:rsid w:val="09D5345C"/>
    <w:rsid w:val="0A1C5EDC"/>
    <w:rsid w:val="0A27015B"/>
    <w:rsid w:val="0A5D5908"/>
    <w:rsid w:val="0BD51C61"/>
    <w:rsid w:val="0EDC1223"/>
    <w:rsid w:val="12386C7D"/>
    <w:rsid w:val="13D12EE6"/>
    <w:rsid w:val="151B4D60"/>
    <w:rsid w:val="153C4810"/>
    <w:rsid w:val="16BC1C2B"/>
    <w:rsid w:val="170E37AA"/>
    <w:rsid w:val="18D55226"/>
    <w:rsid w:val="1C4A2E55"/>
    <w:rsid w:val="1DE92E23"/>
    <w:rsid w:val="1E1E483E"/>
    <w:rsid w:val="1FF73CD4"/>
    <w:rsid w:val="22CB7136"/>
    <w:rsid w:val="275823E3"/>
    <w:rsid w:val="284F788D"/>
    <w:rsid w:val="2A297180"/>
    <w:rsid w:val="2A9D36CA"/>
    <w:rsid w:val="2E5E68CC"/>
    <w:rsid w:val="2EC41433"/>
    <w:rsid w:val="2F917EEC"/>
    <w:rsid w:val="31297B3A"/>
    <w:rsid w:val="355F439E"/>
    <w:rsid w:val="35CC29B8"/>
    <w:rsid w:val="361E3E5D"/>
    <w:rsid w:val="37A6654A"/>
    <w:rsid w:val="38B36882"/>
    <w:rsid w:val="3BB85D78"/>
    <w:rsid w:val="3C176B62"/>
    <w:rsid w:val="3C797352"/>
    <w:rsid w:val="420C1409"/>
    <w:rsid w:val="42231B8E"/>
    <w:rsid w:val="43CB4C37"/>
    <w:rsid w:val="4706325F"/>
    <w:rsid w:val="47290367"/>
    <w:rsid w:val="48FE4AE5"/>
    <w:rsid w:val="4D463C5A"/>
    <w:rsid w:val="4ECC7680"/>
    <w:rsid w:val="4F5D6EDB"/>
    <w:rsid w:val="537F016A"/>
    <w:rsid w:val="563D798B"/>
    <w:rsid w:val="567A473C"/>
    <w:rsid w:val="567C6788"/>
    <w:rsid w:val="579A241E"/>
    <w:rsid w:val="58840D76"/>
    <w:rsid w:val="5C8B1D2D"/>
    <w:rsid w:val="5D511379"/>
    <w:rsid w:val="5E1A5E90"/>
    <w:rsid w:val="60962E78"/>
    <w:rsid w:val="60DD52CA"/>
    <w:rsid w:val="60FB542C"/>
    <w:rsid w:val="636808F8"/>
    <w:rsid w:val="642A77A1"/>
    <w:rsid w:val="64FD4259"/>
    <w:rsid w:val="66913F47"/>
    <w:rsid w:val="67F22680"/>
    <w:rsid w:val="6A640607"/>
    <w:rsid w:val="6AD40467"/>
    <w:rsid w:val="6B2942C7"/>
    <w:rsid w:val="6B3179BA"/>
    <w:rsid w:val="6BF95CAB"/>
    <w:rsid w:val="6C4D48B3"/>
    <w:rsid w:val="6D0669CA"/>
    <w:rsid w:val="6FDF53A7"/>
    <w:rsid w:val="717A11AE"/>
    <w:rsid w:val="72FD2CFB"/>
    <w:rsid w:val="73506AF8"/>
    <w:rsid w:val="74AE7C8C"/>
    <w:rsid w:val="76511CAD"/>
    <w:rsid w:val="76A7434D"/>
    <w:rsid w:val="76D37824"/>
    <w:rsid w:val="76E3041F"/>
    <w:rsid w:val="7772596D"/>
    <w:rsid w:val="788E5851"/>
    <w:rsid w:val="7AB02F22"/>
    <w:rsid w:val="7BE843F8"/>
    <w:rsid w:val="7C4A418F"/>
    <w:rsid w:val="7C9C2DAE"/>
    <w:rsid w:val="7DD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01775"/>
  <w15:docId w15:val="{97260DAC-8F64-4A14-B8E1-4352C99D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line="560" w:lineRule="exact"/>
      <w:ind w:firstLine="200"/>
      <w:jc w:val="center"/>
      <w:outlineLvl w:val="1"/>
    </w:pPr>
    <w:rPr>
      <w:rFonts w:eastAsia="楷体_GB2312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uiPriority w:val="99"/>
    <w:qFormat/>
    <w:pPr>
      <w:widowControl/>
      <w:spacing w:line="520" w:lineRule="exact"/>
      <w:ind w:firstLineChars="200" w:firstLine="200"/>
      <w:textAlignment w:val="baseline"/>
    </w:pPr>
    <w:rPr>
      <w:rFonts w:ascii="宋体" w:hAnsi="宋体"/>
      <w:color w:val="000000"/>
      <w:spacing w:val="10"/>
      <w:kern w:val="0"/>
      <w:sz w:val="24"/>
      <w:u w:color="000000"/>
    </w:rPr>
  </w:style>
  <w:style w:type="paragraph" w:styleId="a5">
    <w:name w:val="Plain Text"/>
    <w:basedOn w:val="a"/>
    <w:uiPriority w:val="99"/>
    <w:unhideWhenUsed/>
    <w:qFormat/>
    <w:rPr>
      <w:rFonts w:ascii="宋体" w:hAnsi="Courier New"/>
      <w:kern w:val="0"/>
      <w:sz w:val="20"/>
      <w:szCs w:val="20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annotation reference"/>
    <w:uiPriority w:val="99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1">
    <w:name w:val="111"/>
    <w:basedOn w:val="a8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题目"/>
    <w:basedOn w:val="a"/>
    <w:qFormat/>
    <w:pPr>
      <w:jc w:val="center"/>
      <w:outlineLvl w:val="0"/>
    </w:pPr>
    <w:rPr>
      <w:rFonts w:ascii="黑体" w:eastAsia="黑体" w:hAnsi="黑体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6评价正文"/>
    <w:qFormat/>
    <w:pPr>
      <w:spacing w:line="520" w:lineRule="exact"/>
      <w:ind w:firstLineChars="200" w:firstLine="200"/>
      <w:jc w:val="both"/>
    </w:pPr>
    <w:rPr>
      <w:sz w:val="28"/>
    </w:rPr>
  </w:style>
  <w:style w:type="paragraph" w:customStyle="1" w:styleId="1">
    <w:name w:val="1评价标题"/>
    <w:qFormat/>
    <w:pPr>
      <w:pageBreakBefore/>
      <w:spacing w:beforeLines="100" w:before="100" w:afterLines="100" w:after="100" w:line="520" w:lineRule="exact"/>
      <w:jc w:val="center"/>
      <w:outlineLvl w:val="0"/>
    </w:pPr>
    <w:rPr>
      <w:rFonts w:eastAsia="黑体"/>
      <w:kern w:val="2"/>
      <w:sz w:val="32"/>
      <w:szCs w:val="21"/>
    </w:rPr>
  </w:style>
  <w:style w:type="paragraph" w:customStyle="1" w:styleId="5">
    <w:name w:val="5标题评价表格"/>
    <w:qFormat/>
    <w:pPr>
      <w:spacing w:line="520" w:lineRule="exact"/>
      <w:jc w:val="center"/>
      <w:outlineLvl w:val="4"/>
    </w:pPr>
    <w:rPr>
      <w:rFonts w:eastAsia="黑体"/>
      <w:kern w:val="2"/>
      <w:sz w:val="24"/>
      <w:szCs w:val="28"/>
      <w:u w:color="000000"/>
    </w:rPr>
  </w:style>
  <w:style w:type="paragraph" w:customStyle="1" w:styleId="50">
    <w:name w:val="5内容评价表格"/>
    <w:qFormat/>
    <w:pPr>
      <w:spacing w:line="300" w:lineRule="exact"/>
      <w:jc w:val="center"/>
    </w:pPr>
    <w:rPr>
      <w:kern w:val="2"/>
      <w:sz w:val="21"/>
      <w:szCs w:val="21"/>
      <w:u w:color="000000"/>
    </w:rPr>
  </w:style>
  <w:style w:type="paragraph" w:customStyle="1" w:styleId="7">
    <w:name w:val="7评价备注"/>
    <w:qFormat/>
    <w:pPr>
      <w:spacing w:line="400" w:lineRule="exact"/>
      <w:ind w:firstLineChars="200" w:firstLine="200"/>
    </w:pPr>
    <w:rPr>
      <w:rFonts w:eastAsia="黑体"/>
      <w:spacing w:val="4"/>
      <w:kern w:val="2"/>
      <w:sz w:val="21"/>
      <w:szCs w:val="24"/>
    </w:rPr>
  </w:style>
  <w:style w:type="paragraph" w:customStyle="1" w:styleId="3">
    <w:name w:val="3评价标题"/>
    <w:qFormat/>
    <w:pPr>
      <w:spacing w:line="520" w:lineRule="exact"/>
      <w:ind w:firstLineChars="200" w:firstLine="200"/>
      <w:outlineLvl w:val="2"/>
    </w:pPr>
    <w:rPr>
      <w:rFonts w:eastAsia="黑体"/>
      <w:sz w:val="28"/>
      <w:u w:color="000000"/>
    </w:rPr>
  </w:style>
  <w:style w:type="paragraph" w:customStyle="1" w:styleId="a9">
    <w:name w:val="表内文字"/>
    <w:basedOn w:val="a5"/>
    <w:qFormat/>
    <w:pPr>
      <w:spacing w:line="320" w:lineRule="exact"/>
      <w:jc w:val="center"/>
    </w:pPr>
    <w:rPr>
      <w:rFonts w:ascii="Times New Roman" w:hAnsi="Times New Roman"/>
      <w:kern w:val="2"/>
      <w:sz w:val="21"/>
      <w:szCs w:val="21"/>
      <w:u w:color="000000"/>
    </w:rPr>
  </w:style>
  <w:style w:type="paragraph" w:customStyle="1" w:styleId="60">
    <w:name w:val="6表格标题"/>
    <w:qFormat/>
    <w:pPr>
      <w:spacing w:line="520" w:lineRule="exact"/>
      <w:jc w:val="center"/>
      <w:outlineLvl w:val="4"/>
    </w:pPr>
    <w:rPr>
      <w:rFonts w:eastAsia="黑体"/>
      <w:color w:val="FF0000"/>
      <w:sz w:val="24"/>
      <w:szCs w:val="24"/>
    </w:rPr>
  </w:style>
  <w:style w:type="paragraph" w:customStyle="1" w:styleId="aa">
    <w:name w:val="评价表格标题"/>
    <w:uiPriority w:val="99"/>
    <w:qFormat/>
    <w:pPr>
      <w:spacing w:line="400" w:lineRule="exact"/>
      <w:jc w:val="center"/>
    </w:pPr>
    <w:rPr>
      <w:rFonts w:eastAsia="黑体"/>
      <w:color w:val="000000"/>
      <w:sz w:val="24"/>
      <w:szCs w:val="24"/>
    </w:rPr>
  </w:style>
  <w:style w:type="paragraph" w:customStyle="1" w:styleId="10">
    <w:name w:val="正文1"/>
    <w:qFormat/>
    <w:pPr>
      <w:widowControl w:val="0"/>
      <w:snapToGrid w:val="0"/>
      <w:spacing w:line="360" w:lineRule="exact"/>
      <w:jc w:val="center"/>
    </w:pPr>
    <w:rPr>
      <w:snapToGrid w:val="0"/>
      <w:spacing w:val="6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334</Words>
  <Characters>1906</Characters>
  <Application>Microsoft Office Word</Application>
  <DocSecurity>0</DocSecurity>
  <Lines>15</Lines>
  <Paragraphs>4</Paragraphs>
  <ScaleCrop>false</ScaleCrop>
  <Company>微软中国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天舞</dc:creator>
  <cp:lastModifiedBy>微软用户</cp:lastModifiedBy>
  <cp:revision>8</cp:revision>
  <dcterms:created xsi:type="dcterms:W3CDTF">2023-09-27T02:48:00Z</dcterms:created>
  <dcterms:modified xsi:type="dcterms:W3CDTF">2025-08-06T00:46:00Z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158E41C4130D45F7BB2A42425FB8946B_11</vt:lpwstr>
  </property>
  <property fmtid="{D5CDD505-2E9C-101B-9397-08002B2CF9AE}" pid="4" name="KSOTemplateDocerSaveRecord">
    <vt:lpwstr>eyJoZGlkIjoiYTlhMTU5MjYzZjVmNGM5NzEyODNmNDZmYjBlYjY4YWIiLCJ1c2VySWQiOiIxNTA4ODg5MTM0In0=</vt:lpwstr>
  </property>
</Properties>
</file>