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江西益泰节能环保有限公司年产3万吨亚克力单体和1.5万吨亚克力板材新改建项目安全条件评价报告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赵云锋</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ascii="宋体" w:hAnsi="宋体" w:cs="宋体"/>
                <w:sz w:val="24"/>
              </w:rPr>
            </w:pPr>
            <w:r>
              <w:rPr>
                <w:rFonts w:hint="eastAsia" w:ascii="宋体" w:hAnsi="宋体" w:cs="宋体"/>
                <w:sz w:val="24"/>
              </w:rPr>
              <w:t>岳强</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0800000000102212</w:t>
            </w:r>
          </w:p>
        </w:tc>
        <w:tc>
          <w:tcPr>
            <w:tcW w:w="2115" w:type="dxa"/>
            <w:tcBorders>
              <w:tl2br w:val="nil"/>
              <w:tr2bl w:val="nil"/>
            </w:tcBorders>
            <w:shd w:val="clear" w:color="auto" w:fill="FFFFFF"/>
            <w:vAlign w:val="center"/>
          </w:tcPr>
          <w:p w14:paraId="34039BB0">
            <w:pPr>
              <w:jc w:val="center"/>
              <w:rPr>
                <w:rFonts w:ascii="宋体" w:hAnsi="宋体" w:cs="宋体"/>
                <w:sz w:val="24"/>
              </w:rPr>
            </w:pPr>
            <w:r>
              <w:rPr>
                <w:rFonts w:hint="eastAsia" w:ascii="宋体" w:hAnsi="宋体" w:cs="宋体"/>
                <w:sz w:val="24"/>
              </w:rPr>
              <w:t>002352</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2025.1.15</w:t>
            </w:r>
            <w:bookmarkStart w:id="0" w:name="_GoBack"/>
            <w:bookmarkEnd w:id="0"/>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73E4F9CE">
            <w:pPr>
              <w:ind w:firstLine="560"/>
              <w:rPr>
                <w:rFonts w:hint="eastAsia"/>
                <w:snapToGrid w:val="0"/>
              </w:rPr>
            </w:pPr>
            <w:r>
              <w:rPr>
                <w:rFonts w:hint="eastAsia"/>
                <w:snapToGrid w:val="0"/>
              </w:rPr>
              <w:t>江西益泰节能环保有限公司（原江西益泰化工有限公司）位于江西省吉安市新干县盐化工业城，厂区占地面积约66.38亩。根据《国民经济行业分类》GB/T4754-2017，该公司所属行业属于2614有机化学原料制造。该公司现役装置为一期工程年产15000吨有机单体生产装置，于2018年6月27日取得了江西省安全生产监督管理局发放的《安全生产许可证》（赣）WH安许证字[2018]0991号,许可范围为：甲基丙烯酸甲酯（15kt/a）,有效期：2024年7月9日至2027年7月8日。因公司发展需要，经新干县发展和改革委员会在江西省投资项目在线审批监管平台备案，备案项目：年产3万吨亚克力单体和1.5万吨亚克力板材新改建项目（项目统一代码为：2020-360824-28-03-039507），本期项目拟在原有厂区内建设。</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30A6FE3">
            <w:pPr>
              <w:pStyle w:val="4"/>
              <w:rPr>
                <w:rFonts w:hint="eastAsia"/>
              </w:rPr>
            </w:pPr>
            <w:r>
              <w:rPr>
                <w:rFonts w:hint="eastAsia"/>
              </w:rPr>
              <w:t>生产工艺</w:t>
            </w:r>
          </w:p>
          <w:p w14:paraId="12731A74">
            <w:r>
              <w:rPr>
                <w:rFonts w:hint="eastAsia"/>
              </w:rPr>
              <w:t>以有机玻璃边角料、余料等废亚克力为主要原材料，经原料破碎、熔化解聚、冷凝、精馏生产再生甲基丙烯酸甲酯（R</w:t>
            </w:r>
            <w:r>
              <w:t>-</w:t>
            </w:r>
            <w:r>
              <w:rPr>
                <w:rFonts w:hint="eastAsia"/>
              </w:rPr>
              <w:t>MMA）产品。</w:t>
            </w:r>
          </w:p>
          <w:p w14:paraId="64CA9673">
            <w:r>
              <w:rPr>
                <w:rFonts w:hint="eastAsia"/>
              </w:rPr>
              <w:t>1、工艺流程简述</w:t>
            </w:r>
          </w:p>
          <w:p w14:paraId="4AFAB077">
            <w:pPr>
              <w:ind w:firstLine="420" w:firstLineChars="200"/>
            </w:pPr>
            <w:r>
              <w:rPr>
                <w:rFonts w:hint="eastAsia"/>
              </w:rPr>
              <w:t>1）物料预处理：原料经过人工挑选、分类后，部分物料要经过破碎机破碎（设置在201原料仓库内，筛网孔径5～10cm）。</w:t>
            </w:r>
            <w:r>
              <w:rPr>
                <w:rFonts w:hint="eastAsia"/>
                <w:szCs w:val="28"/>
              </w:rPr>
              <w:t>破碎机破碎物料时，破碎机入口处自带水喷淋处理设施，防止物料破碎过程中的粉尘飞扬。</w:t>
            </w:r>
          </w:p>
          <w:p w14:paraId="0E509448">
            <w:pPr>
              <w:ind w:firstLine="420" w:firstLineChars="200"/>
            </w:pPr>
            <w:r>
              <w:rPr>
                <w:rFonts w:hint="eastAsia"/>
              </w:rPr>
              <w:t>2)熔化解聚</w:t>
            </w:r>
          </w:p>
          <w:p w14:paraId="445559D5">
            <w:r>
              <w:rPr>
                <w:rFonts w:hint="eastAsia"/>
              </w:rPr>
              <w:t>将外购的亚克力废料和回用的裁切边角料经过物料预处理后送入解聚车间备用，生产时用行车送入解聚炉，关闭炉门，启动微负压系统，抽取解聚炉内的空气，然后开启电加热器进行升温加热，同时开启冷却系统。整个工艺在微负压状态下进行，炉体设置加热解聚操作温度为500℃-650℃，釜内解聚温度为240℃-270℃，解聚炉内物料开始解聚，根据物料的特性，一炉持续解聚时间为10-12h左右，直至冷却系统后的管道视镜内无液体流动，视为物料已基本解聚完成，再持续碳化30min左右，关闭加热，冷却炉体。</w:t>
            </w:r>
          </w:p>
          <w:p w14:paraId="19642BC1">
            <w:pPr>
              <w:ind w:firstLine="420" w:firstLineChars="200"/>
            </w:pPr>
            <w:r>
              <w:rPr>
                <w:rFonts w:hint="eastAsia"/>
              </w:rPr>
              <w:t>3)冷却系统</w:t>
            </w:r>
          </w:p>
          <w:p w14:paraId="32EF49C1">
            <w:r>
              <w:rPr>
                <w:rFonts w:hint="eastAsia"/>
              </w:rPr>
              <w:t>打开水泵，启动冷却塔，亚克力废料和边角料熔解、汽化形成的挥发性气体从解聚炉顶部的出气口依次经过安装在解聚炉上面的冷凝器（循环冷却水供水温度为32℃）管程后，冷凝成黄色液体（粗单体，温度为40～45℃），储存于半成品中间罐内，再集中收集到粗单体MMA储罐。未凝气体尾气通过管道输送至冷干机组强制冷凝，冷凝后回到半成品中间罐，还有未冷凝的气体通过TO焚烧装置后达标排放。</w:t>
            </w:r>
          </w:p>
          <w:p w14:paraId="20ED4543">
            <w:pPr>
              <w:ind w:firstLine="420" w:firstLineChars="200"/>
            </w:pPr>
            <w:r>
              <w:rPr>
                <w:rFonts w:hint="eastAsia"/>
              </w:rPr>
              <w:t>4）</w:t>
            </w:r>
            <w:r>
              <w:t>精馏</w:t>
            </w:r>
          </w:p>
          <w:p w14:paraId="4986CE24">
            <w:r>
              <w:rPr>
                <w:rFonts w:hint="eastAsia"/>
              </w:rPr>
              <w:t>用泵将粗单体（MMA）储罐中的粗单体(MMA)打入精馏车间的沉淀罐沉淀，然后打入精馏釜内，通过蒸汽加热精馏釜进行精馏，根据产品质量的不同要求，精馏大致时间为10-14h，精馏温度分别控制为60-90℃，精馏塔成负压-0.08MPa.精馏原理是利用物质的沸点不同，将粗单体内成份分段精馏出来，前馏分和后馏分接收至前馏分罐和后馏分罐然后转入沉淀罐再次精馏，中馏分接收至中馏分罐然后转入精单体储罐。剩余的未凝气体采用冷水机深冷通过TO焚烧装置后排空；精馏釜内最后的微聚物转入微聚物暂存罐后再集中打去后馏分储罐，做为TO燃料（鉴别报告详见附件）。</w:t>
            </w:r>
          </w:p>
          <w:p w14:paraId="539F1AC3">
            <w:pPr>
              <w:ind w:firstLine="420" w:firstLineChars="200"/>
            </w:pPr>
            <w:r>
              <w:rPr>
                <w:rFonts w:hint="eastAsia"/>
              </w:rPr>
              <w:t>5）真空机组尾气处理</w:t>
            </w:r>
          </w:p>
          <w:p w14:paraId="19D282F5">
            <w:r>
              <w:t>来</w:t>
            </w:r>
            <w:r>
              <w:rPr>
                <w:rFonts w:hint="eastAsia"/>
              </w:rPr>
              <w:t>自半成品中间罐、沉淀罐、精馏釜、前馏分罐、后馏分罐、中馏分罐等真空尾气进入2台串联的真空缓冲罐，通过真空泵进入尾气缓冲罐，尾气进入一台冷水机组，冷凝回收尾气中的产品至冷冻接收罐，经回收到半成品中间罐。还有未冷凝的气体通过TO焚烧装置后达标排放。</w:t>
            </w:r>
          </w:p>
          <w:p w14:paraId="3BF6BBDC">
            <w:pPr>
              <w:pStyle w:val="21"/>
              <w:ind w:left="0" w:leftChars="0" w:firstLine="420" w:firstLineChars="200"/>
              <w:rPr>
                <w:rFonts w:hint="default"/>
              </w:rPr>
            </w:pPr>
            <w:r>
              <w:t>6）TO装置工艺流程描述</w:t>
            </w:r>
          </w:p>
          <w:p w14:paraId="223F80DD">
            <w:pPr>
              <w:pStyle w:val="15"/>
              <w:spacing w:before="0" w:beforeAutospacing="0" w:after="0" w:afterAutospacing="0"/>
              <w:rPr>
                <w:rFonts w:hint="eastAsia"/>
              </w:rPr>
            </w:pPr>
            <w:r>
              <w:rPr>
                <w:rFonts w:hint="eastAsia"/>
              </w:rPr>
              <w:t>TO直接燃烧设备是将废气中的有机成分（VOCs）在750-900℃的燃烧炉中直接燃烧分解成二氧化碳和水汽排出。T0直燃炉先加热至800℃以上，然后把通过前端冷却回收后废气通过水封进入燃烧室，使废气在800℃以上燃烧室中充分燃烧、净化，经过焚烧后的烟气进入换热系统，将热量转换成可用蒸汽，提高热利用率，降温后经风机、烟囱排放。</w:t>
            </w:r>
          </w:p>
          <w:p w14:paraId="0A3FCAB5">
            <w:pPr>
              <w:pStyle w:val="4"/>
              <w:rPr>
                <w:rFonts w:hint="eastAsia"/>
              </w:rPr>
            </w:pPr>
            <w:r>
              <w:rPr>
                <w:rFonts w:hint="eastAsia"/>
              </w:rPr>
              <w:t>生产工艺</w:t>
            </w:r>
          </w:p>
          <w:p w14:paraId="4C5028DE">
            <w:r>
              <w:rPr>
                <w:rFonts w:hint="eastAsia"/>
              </w:rPr>
              <w:t>1、</w:t>
            </w:r>
            <w:r>
              <w:t>工艺流程简述</w:t>
            </w:r>
          </w:p>
          <w:p w14:paraId="3A3C9F72">
            <w:pPr>
              <w:ind w:firstLine="420" w:firstLineChars="200"/>
            </w:pPr>
            <w:r>
              <w:t>（1）预聚合</w:t>
            </w:r>
            <w:r>
              <w:rPr>
                <w:rFonts w:hint="eastAsia"/>
              </w:rPr>
              <w:t>（聚合危险化工工艺）</w:t>
            </w:r>
          </w:p>
          <w:p w14:paraId="42BDA73D">
            <w:r>
              <w:t>将精甲基丙烯酸甲酯（精MMA）用泵输送到预聚釜中，加入一定量的引发剂</w:t>
            </w:r>
            <w:r>
              <w:rPr>
                <w:rFonts w:hint="eastAsia"/>
              </w:rPr>
              <w:t>（偶氮二异丁腈和偶氮二异庚腈）</w:t>
            </w:r>
            <w:r>
              <w:t>，或根据客户要求的颜色加入适量的对应颜料，进行搅拌</w:t>
            </w:r>
            <w:r>
              <w:rPr>
                <w:rFonts w:hint="eastAsia"/>
              </w:rPr>
              <w:t>常压加热到60-80</w:t>
            </w:r>
            <w:r>
              <w:rPr>
                <w:rFonts w:hint="eastAsia" w:cs="宋体"/>
              </w:rPr>
              <w:t>℃</w:t>
            </w:r>
            <w:r>
              <w:rPr>
                <w:rFonts w:hint="eastAsia"/>
              </w:rPr>
              <w:t>进行单体预聚，预聚10min以后停止加热，把预聚物料放入下方空的反应釜里冷却，让预聚体慢慢低温自聚成浆体，（浆体分子量大概在10</w:t>
            </w:r>
            <w:r>
              <w:rPr>
                <w:rFonts w:hint="eastAsia"/>
                <w:vertAlign w:val="superscript"/>
              </w:rPr>
              <w:t>2</w:t>
            </w:r>
            <w:r>
              <w:rPr>
                <w:rFonts w:hint="eastAsia"/>
              </w:rPr>
              <w:t>左右）</w:t>
            </w:r>
            <w:r>
              <w:t>。</w:t>
            </w:r>
          </w:p>
          <w:p w14:paraId="00C5AC4D">
            <w:pPr>
              <w:ind w:firstLine="420" w:firstLineChars="200"/>
            </w:pPr>
            <w:r>
              <w:t>（2）过滤</w:t>
            </w:r>
          </w:p>
          <w:p w14:paraId="3A6FB0FB">
            <w:r>
              <w:t>将粘稠的预聚物冷却后进行过滤，供下一工艺过程使用。</w:t>
            </w:r>
          </w:p>
          <w:p w14:paraId="69E57110">
            <w:pPr>
              <w:ind w:firstLine="420" w:firstLineChars="200"/>
            </w:pPr>
            <w:r>
              <w:t>（3）制模</w:t>
            </w:r>
          </w:p>
          <w:p w14:paraId="222F5CFD">
            <w:r>
              <w:t>在两块洗净的平板硅玻璃间，四周垫上包有玻璃纸的橡胶条（或橡胶管），并以夹具固定后供灌料用。</w:t>
            </w:r>
          </w:p>
          <w:p w14:paraId="0E0F1826">
            <w:pPr>
              <w:ind w:firstLine="420" w:firstLineChars="200"/>
            </w:pPr>
            <w:r>
              <w:t>（4）灌模</w:t>
            </w:r>
            <w:r>
              <w:rPr>
                <w:rFonts w:hint="eastAsia"/>
              </w:rPr>
              <w:t>、水浴聚合</w:t>
            </w:r>
          </w:p>
          <w:p w14:paraId="741E3328">
            <w:r>
              <w:t>将经计量的浆料灌入模具中，排出空隙中气体，使浆料布满模具后进行封合。将已浇制好的料的模具置于水池中加热处理。</w:t>
            </w:r>
          </w:p>
          <w:p w14:paraId="459D7F11">
            <w:pPr>
              <w:ind w:firstLine="420" w:firstLineChars="200"/>
            </w:pPr>
            <w:r>
              <w:t>（5）</w:t>
            </w:r>
            <w:r>
              <w:rPr>
                <w:rFonts w:hint="eastAsia"/>
              </w:rPr>
              <w:t>固化</w:t>
            </w:r>
            <w:r>
              <w:t>聚合</w:t>
            </w:r>
          </w:p>
          <w:p w14:paraId="46207AA1">
            <w:r>
              <w:t>完全聚合后结束后降温至40℃以下，</w:t>
            </w:r>
            <w:r>
              <w:rPr>
                <w:rFonts w:hint="eastAsia"/>
              </w:rPr>
              <w:t>把聚合好的板材从水池中取出送入烘房，进行进一步定型</w:t>
            </w:r>
            <w:r>
              <w:t>。</w:t>
            </w:r>
          </w:p>
          <w:p w14:paraId="670D48F4">
            <w:pPr>
              <w:ind w:firstLine="420" w:firstLineChars="200"/>
            </w:pPr>
            <w:r>
              <w:t>（6）成品有机玻璃后处理</w:t>
            </w:r>
          </w:p>
          <w:p w14:paraId="7CC7FA49">
            <w:pPr>
              <w:pStyle w:val="16"/>
              <w:ind w:left="0" w:leftChars="0" w:firstLine="0" w:firstLineChars="0"/>
            </w:pPr>
            <w:r>
              <w:t>将从模具中取出的毛片进行外观检验，去边、分级包装后入库。</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lang w:eastAsia="zh-CN"/>
        </w:rPr>
        <w:drawing>
          <wp:inline distT="0" distB="0" distL="114300" distR="114300">
            <wp:extent cx="5267960" cy="3950335"/>
            <wp:effectExtent l="0" t="0" r="8890" b="12065"/>
            <wp:docPr id="6" name="图片 6" descr="4e4fdcd57f38f4975dfa6664df1a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e4fdcd57f38f4975dfa6664df1a283"/>
                    <pic:cNvPicPr>
                      <a:picLocks noChangeAspect="1"/>
                    </pic:cNvPicPr>
                  </pic:nvPicPr>
                  <pic:blipFill>
                    <a:blip r:embed="rId4"/>
                    <a:stretch>
                      <a:fillRect/>
                    </a:stretch>
                  </pic:blipFill>
                  <pic:spPr>
                    <a:xfrm>
                      <a:off x="0" y="0"/>
                      <a:ext cx="5267960" cy="3950335"/>
                    </a:xfrm>
                    <a:prstGeom prst="rect">
                      <a:avLst/>
                    </a:prstGeom>
                  </pic:spPr>
                </pic:pic>
              </a:graphicData>
            </a:graphic>
          </wp:inline>
        </w:drawing>
      </w:r>
      <w:r>
        <w:rPr>
          <w:rFonts w:hint="eastAsia"/>
          <w:lang w:eastAsia="zh-CN"/>
        </w:rPr>
        <w:drawing>
          <wp:inline distT="0" distB="0" distL="114300" distR="114300">
            <wp:extent cx="5267960" cy="3950335"/>
            <wp:effectExtent l="0" t="0" r="8890" b="12065"/>
            <wp:docPr id="7" name="图片 7" descr="15de288e0899a4c94746bf148fe5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de288e0899a4c94746bf148fe59ff"/>
                    <pic:cNvPicPr>
                      <a:picLocks noChangeAspect="1"/>
                    </pic:cNvPicPr>
                  </pic:nvPicPr>
                  <pic:blipFill>
                    <a:blip r:embed="rId5"/>
                    <a:stretch>
                      <a:fillRect/>
                    </a:stretch>
                  </pic:blipFill>
                  <pic:spPr>
                    <a:xfrm>
                      <a:off x="0" y="0"/>
                      <a:ext cx="5267960" cy="3950335"/>
                    </a:xfrm>
                    <a:prstGeom prst="rect">
                      <a:avLst/>
                    </a:prstGeom>
                  </pic:spPr>
                </pic:pic>
              </a:graphicData>
            </a:graphic>
          </wp:inline>
        </w:drawing>
      </w:r>
    </w:p>
    <w:p w14:paraId="523DCE7C">
      <w:pPr>
        <w:rPr>
          <w:rFonts w:hint="eastAsia"/>
          <w:lang w:eastAsia="zh-CN"/>
        </w:rPr>
      </w:pPr>
      <w:r>
        <w:rPr>
          <w:rFonts w:hint="eastAsia"/>
          <w:lang w:eastAsia="zh-CN"/>
        </w:rPr>
        <w:br w:type="page"/>
      </w:r>
    </w:p>
    <w:p w14:paraId="40DA9C56">
      <w:pPr>
        <w:pStyle w:val="21"/>
        <w:ind w:left="0" w:leftChars="0" w:firstLine="0" w:firstLineChars="0"/>
        <w:rPr>
          <w:rFonts w:hint="eastAsia"/>
          <w:lang w:eastAsia="zh-CN"/>
        </w:rPr>
      </w:pPr>
      <w:r>
        <w:rPr>
          <w:rFonts w:hint="eastAsia"/>
          <w:lang w:eastAsia="zh-CN"/>
        </w:rPr>
        <w:drawing>
          <wp:inline distT="0" distB="0" distL="114300" distR="114300">
            <wp:extent cx="7028180" cy="5271135"/>
            <wp:effectExtent l="0" t="0" r="5715" b="1270"/>
            <wp:docPr id="8" name="图片 8" descr="e98548dc413d932c69a6d9011bbf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8548dc413d932c69a6d9011bbfe5f"/>
                    <pic:cNvPicPr>
                      <a:picLocks noChangeAspect="1"/>
                    </pic:cNvPicPr>
                  </pic:nvPicPr>
                  <pic:blipFill>
                    <a:blip r:embed="rId6"/>
                    <a:stretch>
                      <a:fillRect/>
                    </a:stretch>
                  </pic:blipFill>
                  <pic:spPr>
                    <a:xfrm rot="5400000">
                      <a:off x="0" y="0"/>
                      <a:ext cx="7028180" cy="5271135"/>
                    </a:xfrm>
                    <a:prstGeom prst="rect">
                      <a:avLst/>
                    </a:prstGeom>
                  </pic:spPr>
                </pic:pic>
              </a:graphicData>
            </a:graphic>
          </wp:inline>
        </w:drawing>
      </w:r>
      <w:r>
        <w:rPr>
          <w:rFonts w:hint="eastAsia"/>
          <w:lang w:eastAsia="zh-CN"/>
        </w:rPr>
        <w:drawing>
          <wp:inline distT="0" distB="0" distL="114300" distR="114300">
            <wp:extent cx="7028180" cy="5271135"/>
            <wp:effectExtent l="0" t="0" r="5715" b="1270"/>
            <wp:docPr id="9" name="图片 9" descr="fb6b46749bab9614f3dc7bfeb9db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b6b46749bab9614f3dc7bfeb9db4d9"/>
                    <pic:cNvPicPr>
                      <a:picLocks noChangeAspect="1"/>
                    </pic:cNvPicPr>
                  </pic:nvPicPr>
                  <pic:blipFill>
                    <a:blip r:embed="rId7"/>
                    <a:stretch>
                      <a:fillRect/>
                    </a:stretch>
                  </pic:blipFill>
                  <pic:spPr>
                    <a:xfrm rot="5400000">
                      <a:off x="0" y="0"/>
                      <a:ext cx="7028180" cy="5271135"/>
                    </a:xfrm>
                    <a:prstGeom prst="rect">
                      <a:avLst/>
                    </a:prstGeom>
                  </pic:spPr>
                </pic:pic>
              </a:graphicData>
            </a:graphic>
          </wp:inline>
        </w:drawing>
      </w:r>
      <w:r>
        <w:rPr>
          <w:rFonts w:hint="eastAsia"/>
          <w:lang w:eastAsia="zh-CN"/>
        </w:rPr>
        <w:drawing>
          <wp:inline distT="0" distB="0" distL="114300" distR="114300">
            <wp:extent cx="7028180" cy="5271135"/>
            <wp:effectExtent l="0" t="0" r="5715" b="1270"/>
            <wp:docPr id="10" name="图片 10" descr="9efa4d1ab39c4acad597b0eab22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efa4d1ab39c4acad597b0eab227260"/>
                    <pic:cNvPicPr>
                      <a:picLocks noChangeAspect="1"/>
                    </pic:cNvPicPr>
                  </pic:nvPicPr>
                  <pic:blipFill>
                    <a:blip r:embed="rId8"/>
                    <a:stretch>
                      <a:fillRect/>
                    </a:stretch>
                  </pic:blipFill>
                  <pic:spPr>
                    <a:xfrm rot="5400000">
                      <a:off x="0" y="0"/>
                      <a:ext cx="7028180" cy="5271135"/>
                    </a:xfrm>
                    <a:prstGeom prst="rect">
                      <a:avLst/>
                    </a:prstGeom>
                  </pic:spPr>
                </pic:pic>
              </a:graphicData>
            </a:graphic>
          </wp:inline>
        </w:drawing>
      </w:r>
      <w:r>
        <w:rPr>
          <w:rFonts w:hint="eastAsia"/>
          <w:lang w:eastAsia="zh-CN"/>
        </w:rPr>
        <w:drawing>
          <wp:inline distT="0" distB="0" distL="114300" distR="114300">
            <wp:extent cx="7028180" cy="5271135"/>
            <wp:effectExtent l="0" t="0" r="5715" b="1270"/>
            <wp:docPr id="11" name="图片 11" descr="dddf439e3ad4683f252e6392f9e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df439e3ad4683f252e6392f9e2195"/>
                    <pic:cNvPicPr>
                      <a:picLocks noChangeAspect="1"/>
                    </pic:cNvPicPr>
                  </pic:nvPicPr>
                  <pic:blipFill>
                    <a:blip r:embed="rId9"/>
                    <a:stretch>
                      <a:fillRect/>
                    </a:stretch>
                  </pic:blipFill>
                  <pic:spPr>
                    <a:xfrm rot="5400000">
                      <a:off x="0" y="0"/>
                      <a:ext cx="7028180" cy="5271135"/>
                    </a:xfrm>
                    <a:prstGeom prst="rect">
                      <a:avLst/>
                    </a:prstGeom>
                  </pic:spPr>
                </pic:pic>
              </a:graphicData>
            </a:graphic>
          </wp:inline>
        </w:drawing>
      </w:r>
    </w:p>
    <w:p w14:paraId="3EC18341">
      <w:pPr>
        <w:rPr>
          <w:rFonts w:hint="eastAsia"/>
          <w:lang w:eastAsia="zh-CN"/>
        </w:rPr>
      </w:pPr>
      <w:r>
        <w:rPr>
          <w:rFonts w:hint="eastAsia"/>
          <w:lang w:eastAsia="zh-CN"/>
        </w:rPr>
        <w:br w:type="page"/>
      </w:r>
    </w:p>
    <w:p w14:paraId="3CC18563">
      <w:pPr>
        <w:pStyle w:val="7"/>
        <w:rPr>
          <w:rFonts w:hint="eastAsia"/>
          <w:lang w:eastAsia="zh-CN"/>
        </w:rPr>
      </w:pPr>
      <w:r>
        <w:drawing>
          <wp:inline distT="0" distB="0" distL="114300" distR="114300">
            <wp:extent cx="5267325" cy="743902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5267325" cy="743902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3766B"/>
    <w:rsid w:val="396748BA"/>
    <w:rsid w:val="39AC13AD"/>
    <w:rsid w:val="3A751F6D"/>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B01626"/>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8C3AFD"/>
    <w:rsid w:val="63C25DAA"/>
    <w:rsid w:val="64126CC6"/>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8B2EA1"/>
    <w:rsid w:val="74AE0F56"/>
    <w:rsid w:val="76391AC6"/>
    <w:rsid w:val="763B08BD"/>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1961</Words>
  <Characters>2244</Characters>
  <Lines>8</Lines>
  <Paragraphs>2</Paragraphs>
  <TotalTime>10</TotalTime>
  <ScaleCrop>false</ScaleCrop>
  <LinksUpToDate>false</LinksUpToDate>
  <CharactersWithSpaces>2244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2025-07-02T07:56:13Z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A5CBD9F57E434C5D972A82A440F79F16_13</vt:lpwstr>
  </property>
  <property fmtid="{D5CDD505-2E9C-101B-9397-08002B2CF9AE}" pid="4" name="KSOTemplateDocerSaveRecord">
    <vt:lpwstr>eyJoZGlkIjoiNDgzMjdiZTZhYWEwMDUyMzMwMzdhZWM2ZmNjMGMzMDkiLCJ1c2VySWQiOiI1NzcyNjAwMzgifQ==</vt:lpwstr>
  </property>
</Properties>
</file>