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泰安市公正燃油销售有限公司</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653D0C50">
            <w:pPr>
              <w:adjustRightInd w:val="0"/>
              <w:snapToGrid w:val="0"/>
              <w:rPr>
                <w:rFonts w:hint="eastAsia" w:ascii="宋体" w:hAnsi="宋体"/>
                <w:sz w:val="20"/>
                <w:lang w:eastAsia="zh-CN"/>
              </w:rPr>
            </w:pPr>
            <w:r>
              <w:rPr>
                <w:rFonts w:hint="eastAsia" w:ascii="宋体" w:hAnsi="宋体"/>
                <w:sz w:val="20"/>
                <w:lang w:eastAsia="zh-CN"/>
              </w:rPr>
              <w:t>泰安市公正燃油销售有限公司位于山东省泰安市岱岳区下港镇S237省道以东与X105交叉口东南方向180米处，该站西侧是沿街房，南侧是小型停车场，东侧是乡村道路、架空通信线、架空电力线、沿街房，北侧是X015县道（原下祝路）、架空通信线、架空电力线。该站经营许可范围为汽油、柴油，现其主要储存经营汽油、柴油（0#与-10#换季销售）。此次现状评价报告与上次报告相比，该站卸油作业区新增人体静电释放仪，加油区增设1台可燃气体探测器、更换3台加油机（油品、枪数未变），加油站名称由“泰安市公正燃油销售有限公司第一加油站”变更为“泰安市公正燃油销售有限公司”，法定代表人由“陈公祯”变更为“陈荣庆”，其余周边环境、站内设备设施、主要建构筑物均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油罐区、加油区等。站房在站区西部，加油区在站房东北侧，现有3台双枪加油机：其中1台柴油双枪加油机、1台92#汽油双枪加油机、1台95#汽油双枪加油机，均为自吸式；油罐区布置在加油区南侧，自北向南分别为：1台30m³柴油罐、1台30m³92#汽油罐、1台30m³95#汽油罐、1台2m³储罐（现已废弃闲置）、1台30m³柴油罐，汽油、柴油卸油口均位于罐区西北侧，罐区内西侧共有通气管4根（含油气回收处理装置通气管）及1台油气回收处理装置；按《汽车加油加气加氢站技术标准》GB50156-2021标准规定：V=60+60/2=90m3，该站属三级加油站；该站汽油设有卸油油气回收系统、加油油气回收系统及油气回收处理装置</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4CD01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5A5950F">
            <w:pPr>
              <w:autoSpaceDE w:val="0"/>
              <w:autoSpaceDN w:val="0"/>
              <w:adjustRightInd w:val="0"/>
              <w:snapToGrid w:val="0"/>
              <w:jc w:val="center"/>
              <w:rPr>
                <w:rFonts w:hint="eastAsia" w:ascii="宋体" w:hAnsi="宋体" w:eastAsia="宋体" w:cs="宋体"/>
                <w:kern w:val="0"/>
                <w:szCs w:val="21"/>
              </w:rPr>
            </w:pPr>
          </w:p>
        </w:tc>
        <w:tc>
          <w:tcPr>
            <w:tcW w:w="4538" w:type="dxa"/>
            <w:gridSpan w:val="2"/>
            <w:tcBorders>
              <w:tl2br w:val="nil"/>
              <w:tr2bl w:val="nil"/>
            </w:tcBorders>
            <w:shd w:val="clear" w:color="auto" w:fill="auto"/>
            <w:noWrap/>
            <w:vAlign w:val="center"/>
          </w:tcPr>
          <w:p w14:paraId="24BF398B">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7DAC9ABB">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崔  强</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2025.04.15</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04.16</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0244F1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60F636E8">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F73730E">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2025.04.20</w:t>
            </w:r>
          </w:p>
        </w:tc>
        <w:tc>
          <w:tcPr>
            <w:tcW w:w="2350" w:type="dxa"/>
            <w:tcBorders>
              <w:tl2br w:val="nil"/>
              <w:tr2bl w:val="nil"/>
            </w:tcBorders>
            <w:shd w:val="clear" w:color="auto" w:fill="auto"/>
            <w:noWrap/>
            <w:vAlign w:val="center"/>
          </w:tcPr>
          <w:p w14:paraId="765B37FB">
            <w:pPr>
              <w:autoSpaceDE w:val="0"/>
              <w:autoSpaceDN w:val="0"/>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408BA79A">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现场核查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04.24</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3"/>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56275" cy="8267065"/>
            <wp:effectExtent l="0" t="0" r="15875" b="635"/>
            <wp:docPr id="5" name="图片 5" descr="扫描全能王 ⁨2025-6-20 14.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5-6-20 14.37⁩_1"/>
                    <pic:cNvPicPr>
                      <a:picLocks noChangeAspect="1"/>
                    </pic:cNvPicPr>
                  </pic:nvPicPr>
                  <pic:blipFill>
                    <a:blip r:embed="rId4"/>
                    <a:stretch>
                      <a:fillRect/>
                    </a:stretch>
                  </pic:blipFill>
                  <pic:spPr>
                    <a:xfrm>
                      <a:off x="0" y="0"/>
                      <a:ext cx="5756275" cy="8267065"/>
                    </a:xfrm>
                    <a:prstGeom prst="rect">
                      <a:avLst/>
                    </a:prstGeom>
                  </pic:spPr>
                </pic:pic>
              </a:graphicData>
            </a:graphic>
          </wp:inline>
        </w:drawing>
      </w:r>
      <w:r>
        <w:rPr>
          <w:rFonts w:hint="eastAsia" w:eastAsia="宋体" w:cs="宋体"/>
          <w:color w:val="auto"/>
          <w:lang w:eastAsia="zh-CN"/>
        </w:rPr>
        <w:drawing>
          <wp:inline distT="0" distB="0" distL="114300" distR="114300">
            <wp:extent cx="5753100" cy="8479790"/>
            <wp:effectExtent l="0" t="0" r="0" b="16510"/>
            <wp:docPr id="4" name="图片 4" descr="扫描全能王 ⁨2025-6-20 14.3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6-20 14.37⁩_2"/>
                    <pic:cNvPicPr>
                      <a:picLocks noChangeAspect="1"/>
                    </pic:cNvPicPr>
                  </pic:nvPicPr>
                  <pic:blipFill>
                    <a:blip r:embed="rId5"/>
                    <a:stretch>
                      <a:fillRect/>
                    </a:stretch>
                  </pic:blipFill>
                  <pic:spPr>
                    <a:xfrm>
                      <a:off x="0" y="0"/>
                      <a:ext cx="5753100" cy="8479790"/>
                    </a:xfrm>
                    <a:prstGeom prst="rect">
                      <a:avLst/>
                    </a:prstGeom>
                  </pic:spPr>
                </pic:pic>
              </a:graphicData>
            </a:graphic>
          </wp:inline>
        </w:drawing>
      </w:r>
      <w:r>
        <w:rPr>
          <w:rFonts w:hint="eastAsia" w:eastAsia="宋体" w:cs="宋体"/>
          <w:color w:val="auto"/>
          <w:lang w:eastAsia="zh-CN"/>
        </w:rPr>
        <w:drawing>
          <wp:inline distT="0" distB="0" distL="114300" distR="114300">
            <wp:extent cx="5759450" cy="8181340"/>
            <wp:effectExtent l="0" t="0" r="12700" b="10160"/>
            <wp:docPr id="3" name="图片 3" descr="扫描全能王 ⁨2025-6-20 14.3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6-20 14.37⁩_3"/>
                    <pic:cNvPicPr>
                      <a:picLocks noChangeAspect="1"/>
                    </pic:cNvPicPr>
                  </pic:nvPicPr>
                  <pic:blipFill>
                    <a:blip r:embed="rId6"/>
                    <a:stretch>
                      <a:fillRect/>
                    </a:stretch>
                  </pic:blipFill>
                  <pic:spPr>
                    <a:xfrm>
                      <a:off x="0" y="0"/>
                      <a:ext cx="5759450" cy="8181340"/>
                    </a:xfrm>
                    <a:prstGeom prst="rect">
                      <a:avLst/>
                    </a:prstGeom>
                  </pic:spPr>
                </pic:pic>
              </a:graphicData>
            </a:graphic>
          </wp:inline>
        </w:drawing>
      </w:r>
    </w:p>
    <w:p w14:paraId="13EE9904">
      <w:pPr>
        <w:rPr>
          <w:rFonts w:ascii="宋体" w:hAnsi="宋体" w:eastAsia="宋体" w:cs="宋体"/>
          <w:kern w:val="0"/>
          <w:sz w:val="24"/>
        </w:rPr>
      </w:pPr>
    </w:p>
    <w:p w14:paraId="32784124">
      <w:pPr>
        <w:adjustRightInd w:val="0"/>
        <w:snapToGrid w:val="0"/>
        <w:jc w:val="center"/>
        <w:rPr>
          <w:rFonts w:hint="eastAsia" w:ascii="宋体" w:hAnsi="宋体" w:eastAsia="宋体" w:cs="宋体"/>
          <w:kern w:val="0"/>
          <w:sz w:val="24"/>
          <w:lang w:eastAsia="zh-CN"/>
        </w:rPr>
      </w:pPr>
    </w:p>
    <w:p w14:paraId="73460CAB">
      <w:pPr>
        <w:adjustRightInd w:val="0"/>
        <w:snapToGrid w:val="0"/>
        <w:jc w:val="center"/>
        <w:rPr>
          <w:rFonts w:ascii="宋体" w:hAnsi="宋体" w:eastAsia="宋体" w:cs="宋体"/>
          <w:kern w:val="0"/>
          <w:sz w:val="24"/>
        </w:rPr>
      </w:pPr>
      <w:bookmarkStart w:id="62" w:name="_GoBack"/>
      <w:bookmarkEnd w:id="62"/>
      <w:r>
        <w:rPr>
          <w:rFonts w:hint="eastAsia" w:ascii="宋体" w:hAnsi="宋体" w:eastAsia="宋体" w:cs="宋体"/>
          <w:kern w:val="0"/>
          <w:sz w:val="24"/>
          <w:lang w:eastAsia="zh-CN"/>
        </w:rPr>
        <w:t>泰安市公正燃油销售有限公司</w:t>
      </w:r>
      <w:r>
        <w:rPr>
          <w:rFonts w:hint="eastAsia" w:ascii="宋体" w:hAnsi="宋体" w:eastAsia="宋体" w:cs="宋体"/>
          <w:kern w:val="0"/>
          <w:sz w:val="24"/>
        </w:rPr>
        <w:t>安全现状评价现场照片</w:t>
      </w:r>
    </w:p>
    <w:p w14:paraId="378CA0D8">
      <w:pPr>
        <w:pStyle w:val="3"/>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712460" cy="4284345"/>
            <wp:effectExtent l="0" t="0" r="2540" b="1905"/>
            <wp:docPr id="2" name="图片 2" descr="微信图片_2025041614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16140733"/>
                    <pic:cNvPicPr>
                      <a:picLocks noChangeAspect="1"/>
                    </pic:cNvPicPr>
                  </pic:nvPicPr>
                  <pic:blipFill>
                    <a:blip r:embed="rId7"/>
                    <a:stretch>
                      <a:fillRect/>
                    </a:stretch>
                  </pic:blipFill>
                  <pic:spPr>
                    <a:xfrm>
                      <a:off x="0" y="0"/>
                      <a:ext cx="5712460" cy="4284345"/>
                    </a:xfrm>
                    <a:prstGeom prst="rect">
                      <a:avLst/>
                    </a:prstGeom>
                  </pic:spPr>
                </pic:pic>
              </a:graphicData>
            </a:graphic>
          </wp:inline>
        </w:drawing>
      </w:r>
      <w:r>
        <w:rPr>
          <w:rFonts w:hint="eastAsia" w:eastAsiaTheme="minorEastAsia"/>
          <w:lang w:eastAsia="zh-CN"/>
        </w:rPr>
        <w:drawing>
          <wp:inline distT="0" distB="0" distL="114300" distR="114300">
            <wp:extent cx="5752465" cy="4312285"/>
            <wp:effectExtent l="0" t="0" r="635" b="12065"/>
            <wp:docPr id="1" name="图片 1" descr="微信图片_2025041614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16141801"/>
                    <pic:cNvPicPr>
                      <a:picLocks noChangeAspect="1"/>
                    </pic:cNvPicPr>
                  </pic:nvPicPr>
                  <pic:blipFill>
                    <a:blip r:embed="rId8"/>
                    <a:stretch>
                      <a:fillRect/>
                    </a:stretch>
                  </pic:blipFill>
                  <pic:spPr>
                    <a:xfrm>
                      <a:off x="0" y="0"/>
                      <a:ext cx="5752465" cy="4312285"/>
                    </a:xfrm>
                    <a:prstGeom prst="rect">
                      <a:avLst/>
                    </a:prstGeom>
                  </pic:spPr>
                </pic:pic>
              </a:graphicData>
            </a:graphic>
          </wp:inline>
        </w:drawing>
      </w:r>
    </w:p>
    <w:p w14:paraId="653068A9">
      <w:pPr>
        <w:pStyle w:val="16"/>
        <w:widowControl w:val="0"/>
        <w:adjustRightInd w:val="0"/>
        <w:snapToGrid w:val="0"/>
        <w:spacing w:before="468" w:beforeLines="150" w:after="156" w:afterLines="50" w:line="360" w:lineRule="auto"/>
      </w:pPr>
      <w:bookmarkStart w:id="0" w:name="_Toc102634395"/>
      <w:bookmarkStart w:id="1" w:name="_Toc102633969"/>
      <w:bookmarkStart w:id="2" w:name="_Toc15033742"/>
      <w:bookmarkStart w:id="3" w:name="_Toc102634226"/>
      <w:bookmarkStart w:id="4" w:name="_Toc102633895"/>
      <w:r>
        <w:t>第二章 加油站概况</w:t>
      </w:r>
      <w:bookmarkEnd w:id="0"/>
      <w:bookmarkEnd w:id="1"/>
      <w:bookmarkEnd w:id="2"/>
      <w:bookmarkEnd w:id="3"/>
      <w:bookmarkEnd w:id="4"/>
    </w:p>
    <w:p w14:paraId="1DDD5F00">
      <w:pPr>
        <w:adjustRightInd w:val="0"/>
        <w:snapToGrid w:val="0"/>
        <w:spacing w:line="360" w:lineRule="auto"/>
        <w:jc w:val="center"/>
        <w:outlineLvl w:val="1"/>
        <w:rPr>
          <w:rFonts w:ascii="Calibri" w:hAnsi="Calibri" w:eastAsia="楷体_GB2312"/>
          <w:b/>
          <w:kern w:val="0"/>
          <w:sz w:val="32"/>
          <w:szCs w:val="20"/>
        </w:rPr>
      </w:pPr>
      <w:bookmarkStart w:id="5" w:name="_Toc272364524"/>
      <w:bookmarkStart w:id="6" w:name="_Toc15033743"/>
      <w:bookmarkStart w:id="7" w:name="_Toc30066"/>
      <w:bookmarkStart w:id="8" w:name="_Toc26504"/>
      <w:bookmarkStart w:id="9" w:name="_Toc208733856"/>
      <w:bookmarkStart w:id="10" w:name="_Toc102634227"/>
      <w:bookmarkStart w:id="11" w:name="_Toc102634396"/>
      <w:bookmarkStart w:id="12" w:name="_Toc102633970"/>
      <w:bookmarkStart w:id="13" w:name="_Toc1026338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7563CF95">
      <w:pPr>
        <w:pStyle w:val="15"/>
        <w:widowControl w:val="0"/>
        <w:adjustRightInd w:val="0"/>
        <w:snapToGrid w:val="0"/>
        <w:spacing w:line="360" w:lineRule="auto"/>
        <w:ind w:firstLine="560"/>
        <w:rPr>
          <w:rFonts w:ascii="宋体" w:hAnsi="宋体"/>
          <w:szCs w:val="28"/>
        </w:rPr>
      </w:pPr>
      <w:r>
        <w:rPr>
          <w:rFonts w:hint="eastAsia" w:ascii="宋体" w:hAnsi="宋体"/>
          <w:szCs w:val="28"/>
          <w:lang w:eastAsia="zh-CN"/>
        </w:rPr>
        <w:t>泰安市公正燃油销售有限公司</w:t>
      </w:r>
      <w:r>
        <w:rPr>
          <w:rFonts w:hint="eastAsia" w:ascii="宋体" w:hAnsi="宋体"/>
          <w:szCs w:val="28"/>
        </w:rPr>
        <w:t>位于</w:t>
      </w:r>
      <w:r>
        <w:rPr>
          <w:rFonts w:hint="eastAsia" w:ascii="宋体" w:hAnsi="宋体"/>
          <w:szCs w:val="28"/>
          <w:lang w:eastAsia="zh-CN"/>
        </w:rPr>
        <w:t>山东省泰安市岱岳区下港镇S237省道以东与X105交叉口东南方向180米处</w:t>
      </w:r>
      <w:r>
        <w:rPr>
          <w:rFonts w:hint="eastAsia" w:ascii="宋体" w:hAnsi="宋体"/>
          <w:szCs w:val="28"/>
        </w:rPr>
        <w:t>，该站</w:t>
      </w:r>
      <w:r>
        <w:rPr>
          <w:rFonts w:hint="eastAsia" w:ascii="宋体" w:hAnsi="宋体"/>
          <w:szCs w:val="28"/>
          <w:lang w:eastAsia="zh-CN"/>
        </w:rPr>
        <w:t>西侧是沿街房，南侧是小型停车场，东侧是乡村道路、架空通信线、架空电力线、沿街房，北侧是X015县道（原下祝路）、架空通信线、架空电力线</w:t>
      </w:r>
      <w:r>
        <w:rPr>
          <w:rFonts w:hint="eastAsia" w:ascii="宋体" w:hAnsi="宋体"/>
          <w:szCs w:val="28"/>
        </w:rPr>
        <w:t>。该站经营许可范围为汽油、柴油，现其主要储存经营汽油、柴油（0#与-10#换季销售）。此次现状评价报告与上次报告相比，该站卸油作业区新增人体静电释放仪，加油区增设1台可燃气体探测器</w:t>
      </w:r>
      <w:r>
        <w:rPr>
          <w:rFonts w:hint="eastAsia" w:ascii="宋体" w:hAnsi="宋体"/>
          <w:szCs w:val="28"/>
          <w:lang w:eastAsia="zh-CN"/>
        </w:rPr>
        <w:t>、</w:t>
      </w:r>
      <w:r>
        <w:rPr>
          <w:rFonts w:hint="eastAsia" w:ascii="宋体" w:hAnsi="宋体"/>
          <w:szCs w:val="28"/>
          <w:lang w:val="en-US" w:eastAsia="zh-CN"/>
        </w:rPr>
        <w:t>更换3台加油机（油品、枪数未变）</w:t>
      </w:r>
      <w:r>
        <w:rPr>
          <w:rFonts w:hint="eastAsia" w:ascii="宋体" w:hAnsi="宋体"/>
          <w:szCs w:val="28"/>
        </w:rPr>
        <w:t>，</w:t>
      </w:r>
      <w:r>
        <w:rPr>
          <w:rFonts w:hint="eastAsia" w:ascii="宋体" w:hAnsi="宋体"/>
          <w:szCs w:val="28"/>
          <w:lang w:val="en-US" w:eastAsia="zh-CN"/>
        </w:rPr>
        <w:t>加油站名称由“泰安市公正燃油销售有限公司第一加油站”变更为“泰安市公正燃油销售有限公司”，法定代表人由“陈公祯”变更为“陈荣庆”，</w:t>
      </w:r>
      <w:r>
        <w:rPr>
          <w:rFonts w:hint="eastAsia" w:ascii="宋体" w:hAnsi="宋体"/>
          <w:szCs w:val="28"/>
        </w:rPr>
        <w:t>其余周边环境、站内设备设施、主要建构筑物均未发生变化。</w:t>
      </w:r>
    </w:p>
    <w:p w14:paraId="25BD19A4">
      <w:pPr>
        <w:pStyle w:val="15"/>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该加油站主要建有站房、油罐区、加油区等。站房在站区</w:t>
      </w:r>
      <w:r>
        <w:rPr>
          <w:rFonts w:hint="eastAsia" w:ascii="宋体" w:hAnsi="宋体"/>
          <w:szCs w:val="28"/>
          <w:lang w:val="en-US" w:eastAsia="zh-CN"/>
        </w:rPr>
        <w:t>西</w:t>
      </w:r>
      <w:r>
        <w:rPr>
          <w:rFonts w:hint="eastAsia" w:ascii="宋体" w:hAnsi="宋体"/>
          <w:szCs w:val="28"/>
        </w:rPr>
        <w:t>部，加油区在站房</w:t>
      </w:r>
      <w:r>
        <w:rPr>
          <w:rFonts w:hint="eastAsia" w:ascii="宋体" w:hAnsi="宋体"/>
          <w:szCs w:val="28"/>
          <w:lang w:val="en-US" w:eastAsia="zh-CN"/>
        </w:rPr>
        <w:t>东北</w:t>
      </w:r>
      <w:r>
        <w:rPr>
          <w:rFonts w:hint="eastAsia" w:ascii="宋体" w:hAnsi="宋体"/>
          <w:szCs w:val="28"/>
        </w:rPr>
        <w:t>侧，现有</w:t>
      </w:r>
      <w:r>
        <w:rPr>
          <w:rFonts w:hint="eastAsia" w:ascii="宋体" w:hAnsi="宋体"/>
          <w:szCs w:val="28"/>
          <w:lang w:val="en-US" w:eastAsia="zh-CN"/>
        </w:rPr>
        <w:t>3</w:t>
      </w:r>
      <w:r>
        <w:rPr>
          <w:rFonts w:hint="eastAsia" w:ascii="宋体" w:hAnsi="宋体"/>
          <w:szCs w:val="28"/>
        </w:rPr>
        <w:t>台双枪加油机：</w:t>
      </w:r>
      <w:r>
        <w:rPr>
          <w:rFonts w:hint="eastAsia"/>
        </w:rPr>
        <w:t>其中1台柴油双枪加油机、1台92#汽油双枪加油机、1台95#汽油</w:t>
      </w:r>
      <w:r>
        <w:rPr>
          <w:rFonts w:hint="eastAsia"/>
          <w:lang w:val="en-US" w:eastAsia="zh-CN"/>
        </w:rPr>
        <w:t>双</w:t>
      </w:r>
      <w:r>
        <w:rPr>
          <w:rFonts w:hint="eastAsia"/>
        </w:rPr>
        <w:t>枪加油机</w:t>
      </w:r>
      <w:r>
        <w:rPr>
          <w:rFonts w:hint="eastAsia" w:ascii="宋体" w:hAnsi="宋体"/>
          <w:szCs w:val="28"/>
        </w:rPr>
        <w:t>，均为自吸式；油罐区布置在</w:t>
      </w:r>
      <w:r>
        <w:rPr>
          <w:rFonts w:hint="eastAsia" w:ascii="宋体" w:hAnsi="宋体"/>
          <w:szCs w:val="28"/>
          <w:lang w:val="en-US" w:eastAsia="zh-CN"/>
        </w:rPr>
        <w:t>加油区南</w:t>
      </w:r>
      <w:r>
        <w:rPr>
          <w:rFonts w:hint="eastAsia" w:ascii="宋体" w:hAnsi="宋体"/>
          <w:szCs w:val="28"/>
        </w:rPr>
        <w:t>侧，自北向南分别为：1台30m³柴油罐、1台30m³9</w:t>
      </w:r>
      <w:r>
        <w:rPr>
          <w:rFonts w:hint="eastAsia" w:ascii="宋体" w:hAnsi="宋体"/>
          <w:szCs w:val="28"/>
          <w:lang w:val="en-US" w:eastAsia="zh-CN"/>
        </w:rPr>
        <w:t>2</w:t>
      </w:r>
      <w:r>
        <w:rPr>
          <w:rFonts w:hint="eastAsia" w:ascii="宋体" w:hAnsi="宋体"/>
          <w:szCs w:val="28"/>
        </w:rPr>
        <w:t>#汽油罐、1台30m³9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1台2m³储罐（现已废弃闲置）、</w:t>
      </w:r>
      <w:r>
        <w:rPr>
          <w:rFonts w:hint="eastAsia" w:ascii="宋体" w:hAnsi="宋体"/>
          <w:szCs w:val="28"/>
        </w:rPr>
        <w:t>1台30m³柴油罐，汽油、柴油卸油口均位于罐区</w:t>
      </w:r>
      <w:r>
        <w:rPr>
          <w:rFonts w:hint="eastAsia" w:ascii="宋体" w:hAnsi="宋体"/>
          <w:szCs w:val="28"/>
          <w:lang w:val="en-US" w:eastAsia="zh-CN"/>
        </w:rPr>
        <w:t>西</w:t>
      </w:r>
      <w:r>
        <w:rPr>
          <w:rFonts w:hint="eastAsia" w:ascii="宋体" w:hAnsi="宋体"/>
          <w:szCs w:val="28"/>
        </w:rPr>
        <w:t>北侧，罐区</w:t>
      </w:r>
      <w:r>
        <w:rPr>
          <w:rFonts w:hint="eastAsia" w:ascii="宋体" w:hAnsi="宋体"/>
          <w:szCs w:val="28"/>
          <w:lang w:val="en-US" w:eastAsia="zh-CN"/>
        </w:rPr>
        <w:t>内西</w:t>
      </w:r>
      <w:r>
        <w:rPr>
          <w:rFonts w:hint="eastAsia" w:ascii="宋体" w:hAnsi="宋体"/>
          <w:szCs w:val="28"/>
        </w:rPr>
        <w:t>侧共有通气管4根（含油气回收处理装置通气管）</w:t>
      </w:r>
      <w:r>
        <w:rPr>
          <w:rFonts w:hint="eastAsia" w:ascii="宋体" w:hAnsi="宋体"/>
          <w:szCs w:val="28"/>
          <w:lang w:val="en-US" w:eastAsia="zh-CN"/>
        </w:rPr>
        <w:t>及1台油气回收处理装置</w:t>
      </w:r>
      <w:r>
        <w:rPr>
          <w:rFonts w:hint="eastAsia" w:ascii="宋体" w:hAnsi="宋体"/>
          <w:szCs w:val="28"/>
        </w:rPr>
        <w:t>；按《汽车加油加气加氢站技术标准》GB50156-2021标准规定：V=60+</w:t>
      </w:r>
      <w:r>
        <w:rPr>
          <w:rFonts w:hint="eastAsia" w:ascii="宋体" w:hAnsi="宋体"/>
          <w:szCs w:val="28"/>
          <w:lang w:val="en-US" w:eastAsia="zh-CN"/>
        </w:rPr>
        <w:t>6</w:t>
      </w:r>
      <w:r>
        <w:rPr>
          <w:rFonts w:hint="eastAsia" w:ascii="宋体" w:hAnsi="宋体"/>
          <w:szCs w:val="28"/>
        </w:rPr>
        <w:t>0/2=</w:t>
      </w:r>
      <w:r>
        <w:rPr>
          <w:rFonts w:hint="eastAsia" w:ascii="宋体" w:hAnsi="宋体"/>
          <w:szCs w:val="28"/>
          <w:lang w:val="en-US" w:eastAsia="zh-CN"/>
        </w:rPr>
        <w:t>90</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，该站属三级加油站；该站汽油设有卸油油气回收系统、加油油气回收系统及油气回收处理装置</w:t>
      </w:r>
      <w:r>
        <w:rPr>
          <w:rFonts w:hint="eastAsia" w:ascii="宋体"/>
        </w:rPr>
        <w:t>。</w:t>
      </w:r>
    </w:p>
    <w:p w14:paraId="20985B38">
      <w:pPr>
        <w:pStyle w:val="17"/>
        <w:widowControl w:val="0"/>
        <w:adjustRightInd w:val="0"/>
        <w:snapToGrid w:val="0"/>
        <w:spacing w:line="360" w:lineRule="auto"/>
        <w:outlineLvl w:val="9"/>
      </w:pPr>
      <w:r>
        <w:t>表</w:t>
      </w:r>
      <w:r>
        <w:rPr>
          <w:rFonts w:ascii="黑体" w:hAnsi="黑体"/>
        </w:rPr>
        <w:t xml:space="preserve">2.1-1 </w:t>
      </w:r>
      <w: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33893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CD3C210">
            <w:pPr>
              <w:pStyle w:val="18"/>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2BF31B46">
            <w:pPr>
              <w:pStyle w:val="18"/>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39865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2B24C2BD">
            <w:pPr>
              <w:pStyle w:val="18"/>
              <w:widowControl w:val="0"/>
              <w:adjustRightInd w:val="0"/>
              <w:snapToGrid w:val="0"/>
              <w:spacing w:line="360" w:lineRule="auto"/>
              <w:rPr>
                <w:rFonts w:ascii="宋体" w:hAnsi="宋体"/>
                <w:b/>
                <w:bCs/>
              </w:rPr>
            </w:pPr>
          </w:p>
        </w:tc>
        <w:tc>
          <w:tcPr>
            <w:tcW w:w="1667" w:type="pct"/>
            <w:vAlign w:val="center"/>
          </w:tcPr>
          <w:p w14:paraId="526FCF15">
            <w:pPr>
              <w:pStyle w:val="18"/>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527FDBA8">
            <w:pPr>
              <w:pStyle w:val="18"/>
              <w:widowControl w:val="0"/>
              <w:adjustRightInd w:val="0"/>
              <w:snapToGrid w:val="0"/>
              <w:spacing w:line="360" w:lineRule="auto"/>
              <w:rPr>
                <w:rFonts w:ascii="宋体" w:hAnsi="宋体"/>
                <w:b/>
                <w:bCs/>
              </w:rPr>
            </w:pPr>
            <w:r>
              <w:rPr>
                <w:rFonts w:ascii="宋体" w:hAnsi="宋体"/>
                <w:b/>
                <w:bCs/>
              </w:rPr>
              <w:t>单罐容积</w:t>
            </w:r>
          </w:p>
        </w:tc>
      </w:tr>
      <w:tr w14:paraId="4DE8B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2E746DB">
            <w:pPr>
              <w:pStyle w:val="18"/>
              <w:widowControl w:val="0"/>
              <w:adjustRightInd w:val="0"/>
              <w:snapToGrid w:val="0"/>
              <w:spacing w:line="360" w:lineRule="auto"/>
              <w:rPr>
                <w:rFonts w:ascii="宋体" w:hAnsi="宋体"/>
              </w:rPr>
            </w:pPr>
            <w:r>
              <w:rPr>
                <w:rFonts w:ascii="宋体" w:hAnsi="宋体"/>
              </w:rPr>
              <w:t>一级</w:t>
            </w:r>
          </w:p>
        </w:tc>
        <w:tc>
          <w:tcPr>
            <w:tcW w:w="1667" w:type="pct"/>
            <w:vAlign w:val="center"/>
          </w:tcPr>
          <w:p w14:paraId="4A2F4938">
            <w:pPr>
              <w:pStyle w:val="18"/>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5D35D65F">
            <w:pPr>
              <w:pStyle w:val="18"/>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0408E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AC0078A">
            <w:pPr>
              <w:pStyle w:val="18"/>
              <w:widowControl w:val="0"/>
              <w:adjustRightInd w:val="0"/>
              <w:snapToGrid w:val="0"/>
              <w:spacing w:line="360" w:lineRule="auto"/>
              <w:rPr>
                <w:rFonts w:ascii="宋体" w:hAnsi="宋体"/>
              </w:rPr>
            </w:pPr>
            <w:r>
              <w:rPr>
                <w:rFonts w:ascii="宋体" w:hAnsi="宋体"/>
              </w:rPr>
              <w:t>二级</w:t>
            </w:r>
          </w:p>
        </w:tc>
        <w:tc>
          <w:tcPr>
            <w:tcW w:w="1667" w:type="pct"/>
            <w:vAlign w:val="center"/>
          </w:tcPr>
          <w:p w14:paraId="4BC83482">
            <w:pPr>
              <w:pStyle w:val="18"/>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28A1E710">
            <w:pPr>
              <w:pStyle w:val="18"/>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189C9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0E69AC7">
            <w:pPr>
              <w:pStyle w:val="18"/>
              <w:widowControl w:val="0"/>
              <w:adjustRightInd w:val="0"/>
              <w:snapToGrid w:val="0"/>
              <w:spacing w:line="360" w:lineRule="auto"/>
              <w:rPr>
                <w:rFonts w:ascii="宋体" w:hAnsi="宋体"/>
              </w:rPr>
            </w:pPr>
            <w:r>
              <w:rPr>
                <w:rFonts w:ascii="宋体" w:hAnsi="宋体"/>
              </w:rPr>
              <w:t>三级</w:t>
            </w:r>
          </w:p>
        </w:tc>
        <w:tc>
          <w:tcPr>
            <w:tcW w:w="1667" w:type="pct"/>
            <w:vAlign w:val="center"/>
          </w:tcPr>
          <w:p w14:paraId="5F245FF4">
            <w:pPr>
              <w:pStyle w:val="18"/>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0FE432A0">
            <w:pPr>
              <w:pStyle w:val="18"/>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4699582D">
      <w:pPr>
        <w:pStyle w:val="19"/>
        <w:widowControl w:val="0"/>
        <w:adjustRightInd w:val="0"/>
        <w:snapToGrid w:val="0"/>
        <w:spacing w:line="360" w:lineRule="auto"/>
        <w:ind w:firstLine="436"/>
      </w:pPr>
      <w:r>
        <w:t>注：</w:t>
      </w:r>
      <w:r>
        <w:rPr>
          <w:rFonts w:hint="eastAsia"/>
        </w:rPr>
        <w:t>V为油罐总容积。</w:t>
      </w:r>
      <w:r>
        <w:t>柴油罐容积可折半计入油罐总容积。</w:t>
      </w:r>
    </w:p>
    <w:p w14:paraId="57E4AD91">
      <w:pPr>
        <w:pStyle w:val="15"/>
        <w:widowControl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6</w:t>
      </w:r>
      <w:r>
        <w:rPr>
          <w:rFonts w:hint="eastAsia" w:ascii="宋体"/>
        </w:rPr>
        <w:t>人，其中主要负责人1人，安全生产管理人员1人。主要负责人和安全生产管理人员已参加了危险化学品安全管理培训，并取得考核合格证，详见附件。</w:t>
      </w:r>
    </w:p>
    <w:p w14:paraId="52A2A2DA">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14:textFill>
            <w14:solidFill>
              <w14:schemeClr w14:val="tx1"/>
            </w14:solidFill>
          </w14:textFill>
        </w:rPr>
        <w:t>年0</w:t>
      </w:r>
      <w:r>
        <w:rPr>
          <w:rFonts w:hint="eastAsia" w:ascii="宋体"/>
          <w:color w:val="000000" w:themeColor="text1"/>
          <w:lang w:val="en-US" w:eastAsia="zh-CN"/>
          <w14:textFill>
            <w14:solidFill>
              <w14:schemeClr w14:val="tx1"/>
            </w14:solidFill>
          </w14:textFill>
        </w:rPr>
        <w:t>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30</w:t>
      </w:r>
      <w:r>
        <w:rPr>
          <w:rFonts w:hint="eastAsia" w:ascii="宋体"/>
          <w:color w:val="000000" w:themeColor="text1"/>
          <w14:textFill>
            <w14:solidFill>
              <w14:schemeClr w14:val="tx1"/>
            </w14:solidFill>
          </w14:textFill>
        </w:rPr>
        <w:t>日该站取得了《</w:t>
      </w:r>
      <w:r>
        <w:rPr>
          <w:rFonts w:hint="eastAsia" w:ascii="宋体"/>
          <w:color w:val="000000" w:themeColor="text1"/>
          <w:lang w:val="en-US" w:eastAsia="zh-CN"/>
          <w14:textFill>
            <w14:solidFill>
              <w14:schemeClr w14:val="tx1"/>
            </w14:solidFill>
          </w14:textFill>
        </w:rPr>
        <w:t>集体土地使用证</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终止日期为长期使用</w:t>
      </w:r>
      <w:r>
        <w:rPr>
          <w:rFonts w:hint="eastAsia" w:ascii="宋体"/>
          <w:color w:val="000000" w:themeColor="text1"/>
          <w14:textFill>
            <w14:solidFill>
              <w14:schemeClr w14:val="tx1"/>
            </w14:solidFill>
          </w14:textFill>
        </w:rPr>
        <w:t>，详见附件。</w:t>
      </w:r>
    </w:p>
    <w:p w14:paraId="411A0435">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加油站于200</w:t>
      </w:r>
      <w:r>
        <w:rPr>
          <w:rFonts w:hint="eastAsia" w:ascii="宋体"/>
          <w:color w:val="000000" w:themeColor="text1"/>
          <w:lang w:val="en-US" w:eastAsia="zh-CN"/>
          <w14:textFill>
            <w14:solidFill>
              <w14:schemeClr w14:val="tx1"/>
            </w14:solidFill>
          </w14:textFill>
        </w:rPr>
        <w:t>3</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月30日取得了</w:t>
      </w:r>
      <w:r>
        <w:rPr>
          <w:rFonts w:hint="eastAsia" w:ascii="宋体"/>
          <w:color w:val="000000" w:themeColor="text1"/>
          <w:lang w:val="en-US" w:eastAsia="zh-CN"/>
          <w14:textFill>
            <w14:solidFill>
              <w14:schemeClr w14:val="tx1"/>
            </w14:solidFill>
          </w14:textFill>
        </w:rPr>
        <w:t>泰安市岱岳区</w:t>
      </w:r>
      <w:r>
        <w:rPr>
          <w:rFonts w:hint="eastAsia" w:ascii="宋体"/>
          <w:color w:val="000000" w:themeColor="text1"/>
          <w14:textFill>
            <w14:solidFill>
              <w14:schemeClr w14:val="tx1"/>
            </w14:solidFill>
          </w14:textFill>
        </w:rPr>
        <w:t>公安消防大队出具的《建筑工程</w:t>
      </w:r>
      <w:r>
        <w:rPr>
          <w:rFonts w:hint="eastAsia" w:ascii="宋体"/>
          <w:color w:val="000000" w:themeColor="text1"/>
          <w:lang w:val="en-US" w:eastAsia="zh-CN"/>
          <w14:textFill>
            <w14:solidFill>
              <w14:schemeClr w14:val="tx1"/>
            </w14:solidFill>
          </w14:textFill>
        </w:rPr>
        <w:t>竣工</w:t>
      </w:r>
      <w:r>
        <w:rPr>
          <w:rFonts w:hint="eastAsia" w:ascii="宋体"/>
          <w:color w:val="000000" w:themeColor="text1"/>
          <w14:textFill>
            <w14:solidFill>
              <w14:schemeClr w14:val="tx1"/>
            </w14:solidFill>
          </w14:textFill>
        </w:rPr>
        <w:t>消防验收</w:t>
      </w:r>
      <w:r>
        <w:rPr>
          <w:rFonts w:hint="eastAsia" w:ascii="宋体"/>
          <w:color w:val="000000" w:themeColor="text1"/>
          <w:lang w:val="en-US" w:eastAsia="zh-CN"/>
          <w14:textFill>
            <w14:solidFill>
              <w14:schemeClr w14:val="tx1"/>
            </w14:solidFill>
          </w14:textFill>
        </w:rPr>
        <w:t>设计</w:t>
      </w:r>
      <w:r>
        <w:rPr>
          <w:rFonts w:hint="eastAsia" w:ascii="宋体"/>
          <w:color w:val="000000" w:themeColor="text1"/>
          <w14:textFill>
            <w14:solidFill>
              <w14:schemeClr w14:val="tx1"/>
            </w14:solidFill>
          </w14:textFill>
        </w:rPr>
        <w:t>意见书》，编号：</w:t>
      </w:r>
      <w:r>
        <w:rPr>
          <w:rFonts w:hint="eastAsia" w:ascii="宋体"/>
          <w:color w:val="000000" w:themeColor="text1"/>
          <w:lang w:val="en-US" w:eastAsia="zh-CN"/>
          <w14:textFill>
            <w14:solidFill>
              <w14:schemeClr w14:val="tx1"/>
            </w14:solidFill>
          </w14:textFill>
        </w:rPr>
        <w:t>泰岱</w:t>
      </w:r>
      <w:r>
        <w:rPr>
          <w:rFonts w:hint="eastAsia" w:ascii="宋体"/>
          <w:color w:val="000000" w:themeColor="text1"/>
          <w14:textFill>
            <w14:solidFill>
              <w14:schemeClr w14:val="tx1"/>
            </w14:solidFill>
          </w14:textFill>
        </w:rPr>
        <w:t>公消验字</w:t>
      </w:r>
      <w:r>
        <w:rPr>
          <w:rFonts w:hint="eastAsia" w:ascii="宋体"/>
          <w:color w:val="000000" w:themeColor="text1"/>
          <w:lang w:val="en-US" w:eastAsia="zh-CN"/>
          <w14:textFill>
            <w14:solidFill>
              <w14:schemeClr w14:val="tx1"/>
            </w14:solidFill>
          </w14:textFill>
        </w:rPr>
        <w:t>第200309</w:t>
      </w:r>
      <w:r>
        <w:rPr>
          <w:rFonts w:hint="eastAsia" w:ascii="宋体"/>
          <w:color w:val="000000" w:themeColor="text1"/>
          <w14:textFill>
            <w14:solidFill>
              <w14:schemeClr w14:val="tx1"/>
            </w14:solidFill>
          </w14:textFill>
        </w:rPr>
        <w:t>号，结论为：经过对该工程检查，认为基本合格，准许投入使用。详见附件。</w:t>
      </w:r>
    </w:p>
    <w:p w14:paraId="4ECE0C03">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rPr>
        <w:t>该站于2022年06月</w:t>
      </w:r>
      <w:r>
        <w:rPr>
          <w:rFonts w:hint="eastAsia" w:ascii="宋体"/>
          <w:lang w:val="en-US" w:eastAsia="zh-CN"/>
        </w:rPr>
        <w:t>09</w:t>
      </w:r>
      <w:r>
        <w:rPr>
          <w:rFonts w:hint="eastAsia" w:ascii="宋体"/>
        </w:rPr>
        <w:t>日换发了《危险化学品经营许可证》，证书编号：鲁</w:t>
      </w:r>
      <w:r>
        <w:rPr>
          <w:rFonts w:hint="eastAsia" w:ascii="宋体"/>
          <w:color w:val="000000" w:themeColor="text1"/>
          <w14:textFill>
            <w14:solidFill>
              <w14:schemeClr w14:val="tx1"/>
            </w14:solidFill>
          </w14:textFill>
        </w:rPr>
        <w:t>泰危化经[2022]000</w:t>
      </w:r>
      <w:r>
        <w:rPr>
          <w:rFonts w:hint="eastAsia" w:ascii="宋体"/>
          <w:color w:val="000000" w:themeColor="text1"/>
          <w:lang w:val="en-US" w:eastAsia="zh-CN"/>
          <w14:textFill>
            <w14:solidFill>
              <w14:schemeClr w14:val="tx1"/>
            </w14:solidFill>
          </w14:textFill>
        </w:rPr>
        <w:t>226</w:t>
      </w:r>
      <w:r>
        <w:rPr>
          <w:rFonts w:hint="eastAsia" w:ascii="宋体"/>
          <w:color w:val="000000" w:themeColor="text1"/>
          <w14:textFill>
            <w14:solidFill>
              <w14:schemeClr w14:val="tx1"/>
            </w14:solidFill>
          </w14:textFill>
        </w:rPr>
        <w:t>号，证书有效期至2025年06月20日，证书见附件。</w:t>
      </w:r>
    </w:p>
    <w:p w14:paraId="34F8FB8D">
      <w:pPr>
        <w:pStyle w:val="15"/>
        <w:widowControl w:val="0"/>
        <w:adjustRightInd w:val="0"/>
        <w:snapToGrid w:val="0"/>
        <w:spacing w:line="360" w:lineRule="auto"/>
        <w:ind w:firstLine="560"/>
        <w:rPr>
          <w:rFonts w:ascii="宋体"/>
        </w:rPr>
      </w:pPr>
      <w:r>
        <w:rPr>
          <w:rFonts w:hint="eastAsia" w:ascii="宋体"/>
        </w:rPr>
        <w:t>该站于202</w:t>
      </w:r>
      <w:r>
        <w:rPr>
          <w:rFonts w:hint="eastAsia" w:ascii="宋体"/>
          <w:lang w:val="en-US" w:eastAsia="zh-CN"/>
        </w:rPr>
        <w:t>2</w:t>
      </w:r>
      <w:r>
        <w:rPr>
          <w:rFonts w:hint="eastAsia" w:ascii="宋体"/>
        </w:rPr>
        <w:t>年06月2</w:t>
      </w:r>
      <w:r>
        <w:rPr>
          <w:rFonts w:hint="eastAsia" w:ascii="宋体"/>
          <w:lang w:val="en-US" w:eastAsia="zh-CN"/>
        </w:rPr>
        <w:t>7</w:t>
      </w:r>
      <w:r>
        <w:rPr>
          <w:rFonts w:hint="eastAsia" w:ascii="宋体"/>
        </w:rPr>
        <w:t>日</w:t>
      </w:r>
      <w:r>
        <w:rPr>
          <w:rFonts w:hint="eastAsia" w:ascii="宋体"/>
          <w:lang w:val="en-US" w:eastAsia="zh-CN"/>
        </w:rPr>
        <w:t>变更</w:t>
      </w:r>
      <w:r>
        <w:rPr>
          <w:rFonts w:hint="eastAsia" w:ascii="宋体"/>
        </w:rPr>
        <w:t>了《成品油零售经营批准证书》，证书编号：鲁油零售证书第37090</w:t>
      </w:r>
      <w:r>
        <w:rPr>
          <w:rFonts w:hint="eastAsia" w:ascii="宋体"/>
          <w:lang w:val="en-US" w:eastAsia="zh-CN"/>
        </w:rPr>
        <w:t>33087</w:t>
      </w:r>
      <w:r>
        <w:rPr>
          <w:rFonts w:hint="eastAsia" w:ascii="宋体"/>
        </w:rPr>
        <w:t>号，证书有效期至2026年0</w:t>
      </w:r>
      <w:r>
        <w:rPr>
          <w:rFonts w:hint="eastAsia" w:ascii="宋体"/>
          <w:lang w:val="en-US" w:eastAsia="zh-CN"/>
        </w:rPr>
        <w:t>1</w:t>
      </w:r>
      <w:r>
        <w:rPr>
          <w:rFonts w:hint="eastAsia" w:ascii="宋体"/>
        </w:rPr>
        <w:t>月</w:t>
      </w:r>
      <w:r>
        <w:rPr>
          <w:rFonts w:hint="eastAsia" w:ascii="宋体"/>
          <w:lang w:val="en-US" w:eastAsia="zh-CN"/>
        </w:rPr>
        <w:t>05</w:t>
      </w:r>
      <w:r>
        <w:rPr>
          <w:rFonts w:hint="eastAsia" w:ascii="宋体"/>
        </w:rPr>
        <w:t>日，证书见附件。</w:t>
      </w:r>
    </w:p>
    <w:p w14:paraId="56973CE6">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该站在</w:t>
      </w:r>
      <w:r>
        <w:rPr>
          <w:rFonts w:hint="eastAsia" w:ascii="宋体"/>
          <w:color w:val="000000" w:themeColor="text1"/>
          <w:lang w:val="en-US" w:eastAsia="zh-CN"/>
          <w14:textFill>
            <w14:solidFill>
              <w14:schemeClr w14:val="tx1"/>
            </w14:solidFill>
          </w14:textFill>
        </w:rPr>
        <w:t>中国人寿</w:t>
      </w:r>
      <w:r>
        <w:rPr>
          <w:rFonts w:hint="eastAsia" w:ascii="宋体"/>
          <w:color w:val="000000" w:themeColor="text1"/>
          <w14:textFill>
            <w14:solidFill>
              <w14:schemeClr w14:val="tx1"/>
            </w14:solidFill>
          </w14:textFill>
        </w:rPr>
        <w:t>财产保险股份有限公司投保了安全生产责任保险，保险期限为2024年0</w:t>
      </w:r>
      <w:r>
        <w:rPr>
          <w:rFonts w:hint="eastAsia" w:ascii="宋体"/>
          <w:color w:val="000000" w:themeColor="text1"/>
          <w:lang w:val="en-US" w:eastAsia="zh-CN"/>
          <w14:textFill>
            <w14:solidFill>
              <w14:schemeClr w14:val="tx1"/>
            </w14:solidFill>
          </w14:textFill>
        </w:rPr>
        <w:t>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18</w:t>
      </w:r>
      <w:r>
        <w:rPr>
          <w:rFonts w:hint="eastAsia" w:ascii="宋体"/>
          <w:color w:val="000000" w:themeColor="text1"/>
          <w14:textFill>
            <w14:solidFill>
              <w14:schemeClr w14:val="tx1"/>
            </w14:solidFill>
          </w14:textFill>
        </w:rPr>
        <w:t>日零时至2025年0</w:t>
      </w:r>
      <w:r>
        <w:rPr>
          <w:rFonts w:hint="eastAsia" w:ascii="宋体"/>
          <w:color w:val="000000" w:themeColor="text1"/>
          <w:lang w:val="en-US" w:eastAsia="zh-CN"/>
          <w14:textFill>
            <w14:solidFill>
              <w14:schemeClr w14:val="tx1"/>
            </w14:solidFill>
          </w14:textFill>
        </w:rPr>
        <w:t>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17</w:t>
      </w:r>
      <w:r>
        <w:rPr>
          <w:rFonts w:hint="eastAsia" w:ascii="宋体"/>
          <w:color w:val="000000" w:themeColor="text1"/>
          <w14:textFill>
            <w14:solidFill>
              <w14:schemeClr w14:val="tx1"/>
            </w14:solidFill>
          </w14:textFill>
        </w:rPr>
        <w:t>日二十四时，详见附件。</w:t>
      </w:r>
    </w:p>
    <w:p w14:paraId="7C2C4015">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日，山东天科防雷工程有限公司对该站进行了相关防雷设施的检测，出具了合格的《雷电防护装置定期检测报告》，报告编号：（1122016001）[202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]TA</w:t>
      </w:r>
      <w:r>
        <w:rPr>
          <w:rFonts w:hint="eastAsia" w:ascii="宋体"/>
          <w:color w:val="000000" w:themeColor="text1"/>
          <w:lang w:val="en-US" w:eastAsia="zh-CN"/>
          <w14:textFill>
            <w14:solidFill>
              <w14:schemeClr w14:val="tx1"/>
            </w14:solidFill>
          </w14:textFill>
        </w:rPr>
        <w:t>D</w:t>
      </w:r>
      <w:r>
        <w:rPr>
          <w:rFonts w:hint="eastAsia" w:ascii="宋体"/>
          <w:color w:val="000000" w:themeColor="text1"/>
          <w14:textFill>
            <w14:solidFill>
              <w14:schemeClr w14:val="tx1"/>
            </w14:solidFill>
          </w14:textFill>
        </w:rPr>
        <w:t>Y-</w:t>
      </w:r>
      <w:r>
        <w:rPr>
          <w:rFonts w:hint="eastAsia" w:ascii="宋体"/>
          <w:color w:val="000000" w:themeColor="text1"/>
          <w:lang w:val="en-US" w:eastAsia="zh-CN"/>
          <w14:textFill>
            <w14:solidFill>
              <w14:schemeClr w14:val="tx1"/>
            </w14:solidFill>
          </w14:textFill>
        </w:rPr>
        <w:t>0337</w:t>
      </w:r>
      <w:r>
        <w:rPr>
          <w:rFonts w:hint="eastAsia" w:ascii="宋体"/>
          <w:color w:val="000000" w:themeColor="text1"/>
          <w14:textFill>
            <w14:solidFill>
              <w14:schemeClr w14:val="tx1"/>
            </w14:solidFill>
          </w14:textFill>
        </w:rPr>
        <w:t>，结论为“合格：加油站雷电防护装置符合现行国家防雷规范标准要求”，报告有效期至2025年0</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1日，检测报告见附件。</w:t>
      </w:r>
    </w:p>
    <w:p w14:paraId="6F2014AC">
      <w:pPr>
        <w:pStyle w:val="15"/>
        <w:widowControl w:val="0"/>
        <w:adjustRightInd w:val="0"/>
        <w:snapToGrid w:val="0"/>
        <w:spacing w:line="360" w:lineRule="auto"/>
        <w:ind w:firstLine="560"/>
        <w:rPr>
          <w:rFonts w:hint="default" w:ascii="宋体"/>
          <w:lang w:val="en-US" w:eastAsia="zh-CN"/>
        </w:rPr>
      </w:pPr>
      <w:r>
        <w:rPr>
          <w:rFonts w:hint="eastAsia" w:ascii="宋体"/>
          <w:lang w:val="en-US" w:eastAsia="zh-CN"/>
        </w:rPr>
        <w:t>2024年12月26日，河南旭星新能源科技有限公司对该站可燃气体报警器进行了检测并出具了检测报告，检测结果为合格，详见附件。</w:t>
      </w:r>
    </w:p>
    <w:p w14:paraId="7495FEAB">
      <w:pPr>
        <w:pStyle w:val="15"/>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24</w:t>
      </w:r>
      <w:r>
        <w:rPr>
          <w:rFonts w:hint="eastAsia" w:ascii="宋体"/>
          <w:color w:val="000000" w:themeColor="text1"/>
          <w14:textFill>
            <w14:solidFill>
              <w14:schemeClr w14:val="tx1"/>
            </w14:solidFill>
          </w14:textFill>
        </w:rPr>
        <w:t>日在泰安市</w:t>
      </w:r>
      <w:r>
        <w:rPr>
          <w:rFonts w:hint="eastAsia" w:ascii="宋体"/>
          <w:color w:val="000000" w:themeColor="text1"/>
          <w:lang w:val="en-US" w:eastAsia="zh-CN"/>
          <w14:textFill>
            <w14:solidFill>
              <w14:schemeClr w14:val="tx1"/>
            </w14:solidFill>
          </w14:textFill>
        </w:rPr>
        <w:t>岱岳区</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val="en-US" w:eastAsia="zh-CN"/>
          <w14:textFill>
            <w14:solidFill>
              <w14:schemeClr w14:val="tx1"/>
            </w14:solidFill>
          </w14:textFill>
        </w:rPr>
        <w:t>3709112025024</w:t>
      </w:r>
      <w:r>
        <w:rPr>
          <w:rFonts w:hint="eastAsia" w:ascii="宋体"/>
          <w:color w:val="000000" w:themeColor="text1"/>
          <w14:textFill>
            <w14:solidFill>
              <w14:schemeClr w14:val="tx1"/>
            </w14:solidFill>
          </w14:textFill>
        </w:rPr>
        <w:t>，详见附件。</w:t>
      </w:r>
    </w:p>
    <w:p w14:paraId="0F5B90EF">
      <w:pPr>
        <w:pStyle w:val="15"/>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5222D174">
      <w:pPr>
        <w:pStyle w:val="15"/>
        <w:widowControl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8</w:t>
      </w:r>
      <w:r>
        <w:rPr>
          <w:rFonts w:hint="eastAsia" w:ascii="宋体"/>
        </w:rPr>
        <w:t>kg手提式干粉灭火器</w:t>
      </w:r>
      <w:r>
        <w:rPr>
          <w:rFonts w:hint="eastAsia" w:ascii="宋体"/>
          <w:lang w:val="en-US" w:eastAsia="zh-CN"/>
        </w:rPr>
        <w:t>6</w:t>
      </w:r>
      <w:r>
        <w:rPr>
          <w:rFonts w:hint="eastAsia" w:ascii="宋体"/>
        </w:rPr>
        <w:t>具，灭火毯</w:t>
      </w:r>
      <w:r>
        <w:rPr>
          <w:rFonts w:hint="eastAsia" w:ascii="宋体"/>
          <w:lang w:val="en-US" w:eastAsia="zh-CN"/>
        </w:rPr>
        <w:t>6</w:t>
      </w:r>
      <w:r>
        <w:rPr>
          <w:rFonts w:hint="eastAsia" w:ascii="宋体"/>
        </w:rPr>
        <w:t>块，消防锨</w:t>
      </w:r>
      <w:r>
        <w:rPr>
          <w:rFonts w:hint="eastAsia" w:ascii="宋体"/>
          <w:lang w:val="en-US" w:eastAsia="zh-CN"/>
        </w:rPr>
        <w:t>2</w:t>
      </w:r>
      <w:r>
        <w:rPr>
          <w:rFonts w:hint="eastAsia" w:ascii="宋体"/>
        </w:rPr>
        <w:t>把，消防桶2个，消防沙池2m</w:t>
      </w:r>
      <w:r>
        <w:rPr>
          <w:rFonts w:hint="eastAsia" w:ascii="宋体"/>
          <w:vertAlign w:val="superscript"/>
        </w:rPr>
        <w:t>3</w:t>
      </w:r>
      <w:r>
        <w:rPr>
          <w:rFonts w:hint="eastAsia" w:ascii="宋体"/>
        </w:rPr>
        <w:t>。</w:t>
      </w:r>
    </w:p>
    <w:p w14:paraId="2374800E">
      <w:pPr>
        <w:pStyle w:val="15"/>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p>
    <w:p w14:paraId="65FF6B47">
      <w:pPr>
        <w:pStyle w:val="16"/>
        <w:widowControl w:val="0"/>
        <w:adjustRightInd w:val="0"/>
        <w:snapToGrid w:val="0"/>
        <w:spacing w:before="468" w:beforeLines="150" w:after="156" w:afterLines="50" w:line="360" w:lineRule="auto"/>
      </w:pPr>
      <w:bookmarkStart w:id="14" w:name="_Toc102633906"/>
      <w:bookmarkStart w:id="15" w:name="_Toc102633980"/>
      <w:bookmarkStart w:id="16" w:name="_Toc102634255"/>
      <w:bookmarkStart w:id="17" w:name="_Toc102634406"/>
      <w:r>
        <w:t>第四章 评价单元划分与评价方法选择</w:t>
      </w:r>
      <w:bookmarkEnd w:id="14"/>
      <w:bookmarkEnd w:id="15"/>
      <w:bookmarkEnd w:id="16"/>
      <w:bookmarkEnd w:id="17"/>
    </w:p>
    <w:p w14:paraId="6BCE7516">
      <w:pPr>
        <w:adjustRightInd w:val="0"/>
        <w:snapToGrid w:val="0"/>
        <w:spacing w:line="360" w:lineRule="auto"/>
        <w:jc w:val="center"/>
        <w:outlineLvl w:val="1"/>
        <w:rPr>
          <w:rFonts w:ascii="Calibri" w:hAnsi="Calibri" w:eastAsia="楷体_GB2312"/>
          <w:b/>
          <w:kern w:val="0"/>
          <w:sz w:val="32"/>
          <w:szCs w:val="20"/>
        </w:rPr>
      </w:pPr>
      <w:bookmarkStart w:id="18" w:name="_Toc102633981"/>
      <w:bookmarkStart w:id="19" w:name="_Toc238007574"/>
      <w:bookmarkStart w:id="20" w:name="_Toc102633907"/>
      <w:bookmarkStart w:id="21" w:name="_Toc272364536"/>
      <w:bookmarkStart w:id="22" w:name="_Toc198026273"/>
      <w:bookmarkStart w:id="23" w:name="_Toc102634407"/>
      <w:bookmarkStart w:id="24" w:name="_Toc102634256"/>
      <w:bookmarkStart w:id="25" w:name="_Toc192907201"/>
      <w:bookmarkStart w:id="26" w:name="_Toc23543"/>
      <w:bookmarkStart w:id="27" w:name="_Toc7829"/>
      <w:bookmarkStart w:id="28" w:name="_Toc15033754"/>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7EFBC6D1">
      <w:pPr>
        <w:pStyle w:val="15"/>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D0007AD">
      <w:pPr>
        <w:pStyle w:val="20"/>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5CF18269">
      <w:pPr>
        <w:pStyle w:val="15"/>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19A4E22A">
      <w:pPr>
        <w:pStyle w:val="15"/>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592C1A93">
      <w:pPr>
        <w:pStyle w:val="20"/>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2C97C547">
      <w:pPr>
        <w:pStyle w:val="15"/>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3E5AC7E2">
      <w:pPr>
        <w:pStyle w:val="15"/>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7358484F">
      <w:pPr>
        <w:pStyle w:val="15"/>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629CAFD2">
      <w:pPr>
        <w:pStyle w:val="15"/>
        <w:widowControl w:val="0"/>
        <w:adjustRightInd w:val="0"/>
        <w:snapToGrid w:val="0"/>
        <w:spacing w:line="360" w:lineRule="auto"/>
        <w:ind w:firstLine="560"/>
        <w:rPr>
          <w:rFonts w:ascii="宋体"/>
        </w:rPr>
      </w:pPr>
      <w:r>
        <w:rPr>
          <w:rFonts w:ascii="宋体"/>
        </w:rPr>
        <w:t>1、安全管理；</w:t>
      </w:r>
    </w:p>
    <w:p w14:paraId="533BC7CE">
      <w:pPr>
        <w:pStyle w:val="15"/>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7249BC58">
      <w:pPr>
        <w:pStyle w:val="15"/>
        <w:widowControl w:val="0"/>
        <w:adjustRightInd w:val="0"/>
        <w:snapToGrid w:val="0"/>
        <w:spacing w:line="360" w:lineRule="auto"/>
        <w:ind w:firstLine="560"/>
        <w:rPr>
          <w:rFonts w:ascii="宋体"/>
        </w:rPr>
      </w:pPr>
      <w:r>
        <w:rPr>
          <w:rFonts w:ascii="宋体"/>
        </w:rPr>
        <w:t>3、加油工艺及设施；</w:t>
      </w:r>
    </w:p>
    <w:p w14:paraId="232E853C">
      <w:pPr>
        <w:pStyle w:val="15"/>
        <w:widowControl w:val="0"/>
        <w:adjustRightInd w:val="0"/>
        <w:snapToGrid w:val="0"/>
        <w:spacing w:line="360" w:lineRule="auto"/>
        <w:ind w:firstLine="560"/>
        <w:rPr>
          <w:rFonts w:ascii="宋体"/>
        </w:rPr>
      </w:pPr>
      <w:r>
        <w:rPr>
          <w:rFonts w:ascii="宋体"/>
        </w:rPr>
        <w:t>4、其它安全设施等。</w:t>
      </w:r>
      <w:bookmarkStart w:id="31" w:name="_Toc24232"/>
      <w:bookmarkStart w:id="32" w:name="_Toc238007575"/>
      <w:bookmarkStart w:id="33" w:name="_Toc198026274"/>
      <w:bookmarkStart w:id="34" w:name="_Toc192907202"/>
      <w:bookmarkStart w:id="35" w:name="_Toc188079886"/>
      <w:bookmarkStart w:id="36" w:name="_Toc188080068"/>
      <w:bookmarkStart w:id="37" w:name="_Toc19785"/>
      <w:bookmarkStart w:id="38" w:name="_Toc272364537"/>
      <w:bookmarkStart w:id="39" w:name="_Toc15033755"/>
    </w:p>
    <w:p w14:paraId="057BE3E7">
      <w:pPr>
        <w:adjustRightInd w:val="0"/>
        <w:snapToGrid w:val="0"/>
        <w:spacing w:line="360" w:lineRule="auto"/>
        <w:jc w:val="center"/>
        <w:outlineLvl w:val="1"/>
        <w:rPr>
          <w:rFonts w:ascii="Calibri" w:hAnsi="Calibri" w:eastAsia="楷体_GB2312"/>
          <w:b/>
          <w:kern w:val="0"/>
          <w:sz w:val="32"/>
          <w:szCs w:val="20"/>
        </w:rPr>
      </w:pPr>
      <w:bookmarkStart w:id="40" w:name="_Toc102633982"/>
      <w:bookmarkStart w:id="41" w:name="_Toc102634408"/>
      <w:bookmarkStart w:id="42" w:name="_Toc102633908"/>
      <w:bookmarkStart w:id="43" w:name="_Toc102634259"/>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5F55BB5C">
      <w:pPr>
        <w:pStyle w:val="15"/>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076E9D8B">
      <w:pPr>
        <w:pStyle w:val="15"/>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EDC4C91">
      <w:pPr>
        <w:pStyle w:val="15"/>
        <w:widowControl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泰安市公正燃油销售有限公司</w:t>
      </w:r>
      <w:r>
        <w:rPr>
          <w:rFonts w:ascii="宋体"/>
        </w:rPr>
        <w:t>的具体情况，选用安全检查表、事故树法及危险度评价法对加油站进行评价。具体应用如下表所示：</w:t>
      </w:r>
    </w:p>
    <w:p w14:paraId="0858A405">
      <w:pPr>
        <w:pStyle w:val="17"/>
        <w:widowControl w:val="0"/>
        <w:adjustRightInd w:val="0"/>
        <w:snapToGrid w:val="0"/>
        <w:spacing w:line="360" w:lineRule="auto"/>
        <w:outlineLvl w:val="9"/>
        <w:rPr>
          <w:rFonts w:ascii="黑体" w:hAnsi="黑体"/>
        </w:rPr>
      </w:pPr>
      <w:r>
        <w:rPr>
          <w:rFonts w:ascii="黑体" w:hAnsi="黑体"/>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E44A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299343A">
            <w:pPr>
              <w:pStyle w:val="18"/>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460EBF43">
            <w:pPr>
              <w:pStyle w:val="18"/>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14EB8425">
            <w:pPr>
              <w:pStyle w:val="18"/>
              <w:widowControl w:val="0"/>
              <w:adjustRightInd w:val="0"/>
              <w:snapToGrid w:val="0"/>
              <w:spacing w:line="360" w:lineRule="auto"/>
              <w:rPr>
                <w:rFonts w:ascii="宋体"/>
                <w:b/>
              </w:rPr>
            </w:pPr>
            <w:r>
              <w:rPr>
                <w:rFonts w:ascii="宋体"/>
                <w:b/>
                <w:lang w:val="en-GB"/>
              </w:rPr>
              <w:t>评价方法</w:t>
            </w:r>
          </w:p>
        </w:tc>
      </w:tr>
      <w:tr w14:paraId="4F21E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7AEC2B32">
            <w:pPr>
              <w:pStyle w:val="18"/>
              <w:widowControl w:val="0"/>
              <w:adjustRightInd w:val="0"/>
              <w:snapToGrid w:val="0"/>
              <w:spacing w:line="360" w:lineRule="auto"/>
              <w:rPr>
                <w:rFonts w:ascii="宋体"/>
                <w:b/>
                <w:lang w:val="en-GB"/>
              </w:rPr>
            </w:pPr>
          </w:p>
        </w:tc>
        <w:tc>
          <w:tcPr>
            <w:tcW w:w="1285" w:type="pct"/>
            <w:vMerge w:val="continue"/>
            <w:vAlign w:val="center"/>
          </w:tcPr>
          <w:p w14:paraId="24EFE8B3">
            <w:pPr>
              <w:pStyle w:val="18"/>
              <w:widowControl w:val="0"/>
              <w:adjustRightInd w:val="0"/>
              <w:snapToGrid w:val="0"/>
              <w:spacing w:line="360" w:lineRule="auto"/>
              <w:rPr>
                <w:rFonts w:ascii="宋体"/>
                <w:b/>
              </w:rPr>
            </w:pPr>
          </w:p>
        </w:tc>
        <w:tc>
          <w:tcPr>
            <w:tcW w:w="1196" w:type="pct"/>
            <w:vAlign w:val="center"/>
          </w:tcPr>
          <w:p w14:paraId="0041663A">
            <w:pPr>
              <w:pStyle w:val="18"/>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63D44DD7">
            <w:pPr>
              <w:pStyle w:val="18"/>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7A229FD0">
            <w:pPr>
              <w:pStyle w:val="18"/>
              <w:widowControl w:val="0"/>
              <w:adjustRightInd w:val="0"/>
              <w:snapToGrid w:val="0"/>
              <w:spacing w:line="360" w:lineRule="auto"/>
              <w:rPr>
                <w:rFonts w:ascii="宋体"/>
                <w:b/>
                <w:lang w:val="en-GB"/>
              </w:rPr>
            </w:pPr>
            <w:r>
              <w:rPr>
                <w:rFonts w:ascii="宋体"/>
                <w:b/>
                <w:lang w:val="en-GB"/>
              </w:rPr>
              <w:t>事故树法</w:t>
            </w:r>
          </w:p>
        </w:tc>
      </w:tr>
      <w:tr w14:paraId="2D613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DC1DB04">
            <w:pPr>
              <w:pStyle w:val="18"/>
              <w:widowControl w:val="0"/>
              <w:adjustRightInd w:val="0"/>
              <w:snapToGrid w:val="0"/>
              <w:spacing w:line="360" w:lineRule="auto"/>
              <w:rPr>
                <w:rFonts w:ascii="宋体"/>
                <w:lang w:val="en-GB"/>
              </w:rPr>
            </w:pPr>
            <w:r>
              <w:rPr>
                <w:rFonts w:ascii="宋体"/>
                <w:lang w:val="en-GB"/>
              </w:rPr>
              <w:t>1</w:t>
            </w:r>
          </w:p>
        </w:tc>
        <w:tc>
          <w:tcPr>
            <w:tcW w:w="1285" w:type="pct"/>
            <w:vAlign w:val="center"/>
          </w:tcPr>
          <w:p w14:paraId="49452E5E">
            <w:pPr>
              <w:pStyle w:val="18"/>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285704E6">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355B5EEF">
            <w:pPr>
              <w:pStyle w:val="18"/>
              <w:widowControl w:val="0"/>
              <w:adjustRightInd w:val="0"/>
              <w:snapToGrid w:val="0"/>
              <w:spacing w:line="360" w:lineRule="auto"/>
              <w:rPr>
                <w:rFonts w:ascii="宋体"/>
              </w:rPr>
            </w:pPr>
          </w:p>
        </w:tc>
        <w:tc>
          <w:tcPr>
            <w:tcW w:w="972" w:type="pct"/>
            <w:vAlign w:val="center"/>
          </w:tcPr>
          <w:p w14:paraId="736C9177">
            <w:pPr>
              <w:pStyle w:val="18"/>
              <w:widowControl w:val="0"/>
              <w:adjustRightInd w:val="0"/>
              <w:snapToGrid w:val="0"/>
              <w:spacing w:line="360" w:lineRule="auto"/>
              <w:rPr>
                <w:rFonts w:ascii="宋体"/>
              </w:rPr>
            </w:pPr>
          </w:p>
        </w:tc>
      </w:tr>
      <w:tr w14:paraId="0E203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58EC8B2">
            <w:pPr>
              <w:pStyle w:val="18"/>
              <w:widowControl w:val="0"/>
              <w:adjustRightInd w:val="0"/>
              <w:snapToGrid w:val="0"/>
              <w:spacing w:line="360" w:lineRule="auto"/>
              <w:rPr>
                <w:rFonts w:ascii="宋体"/>
                <w:lang w:val="en-GB"/>
              </w:rPr>
            </w:pPr>
            <w:r>
              <w:rPr>
                <w:rFonts w:ascii="宋体"/>
                <w:lang w:val="en-GB"/>
              </w:rPr>
              <w:t>2</w:t>
            </w:r>
          </w:p>
        </w:tc>
        <w:tc>
          <w:tcPr>
            <w:tcW w:w="1285" w:type="pct"/>
            <w:vAlign w:val="center"/>
          </w:tcPr>
          <w:p w14:paraId="285175D6">
            <w:pPr>
              <w:pStyle w:val="18"/>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0EFF8CD">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32F9525F">
            <w:pPr>
              <w:pStyle w:val="18"/>
              <w:widowControl w:val="0"/>
              <w:adjustRightInd w:val="0"/>
              <w:snapToGrid w:val="0"/>
              <w:spacing w:line="360" w:lineRule="auto"/>
              <w:rPr>
                <w:rFonts w:ascii="宋体"/>
              </w:rPr>
            </w:pPr>
          </w:p>
        </w:tc>
        <w:tc>
          <w:tcPr>
            <w:tcW w:w="972" w:type="pct"/>
            <w:vAlign w:val="center"/>
          </w:tcPr>
          <w:p w14:paraId="6D4C9E83">
            <w:pPr>
              <w:pStyle w:val="18"/>
              <w:widowControl w:val="0"/>
              <w:adjustRightInd w:val="0"/>
              <w:snapToGrid w:val="0"/>
              <w:spacing w:line="360" w:lineRule="auto"/>
              <w:rPr>
                <w:rFonts w:ascii="宋体"/>
              </w:rPr>
            </w:pPr>
          </w:p>
        </w:tc>
      </w:tr>
      <w:tr w14:paraId="3B585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93434A5">
            <w:pPr>
              <w:pStyle w:val="18"/>
              <w:widowControl w:val="0"/>
              <w:adjustRightInd w:val="0"/>
              <w:snapToGrid w:val="0"/>
              <w:spacing w:line="360" w:lineRule="auto"/>
              <w:rPr>
                <w:rFonts w:ascii="宋体"/>
                <w:lang w:val="en-GB"/>
              </w:rPr>
            </w:pPr>
            <w:r>
              <w:rPr>
                <w:rFonts w:ascii="宋体"/>
                <w:lang w:val="en-GB"/>
              </w:rPr>
              <w:t>3</w:t>
            </w:r>
          </w:p>
        </w:tc>
        <w:tc>
          <w:tcPr>
            <w:tcW w:w="1285" w:type="pct"/>
            <w:vAlign w:val="center"/>
          </w:tcPr>
          <w:p w14:paraId="47375FA2">
            <w:pPr>
              <w:pStyle w:val="18"/>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41A8914A">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6430EDA1">
            <w:pPr>
              <w:pStyle w:val="18"/>
              <w:widowControl w:val="0"/>
              <w:adjustRightInd w:val="0"/>
              <w:snapToGrid w:val="0"/>
              <w:spacing w:line="360" w:lineRule="auto"/>
              <w:rPr>
                <w:rFonts w:ascii="宋体"/>
              </w:rPr>
            </w:pPr>
            <w:r>
              <w:rPr>
                <w:rFonts w:hint="eastAsia" w:ascii="宋体" w:hAnsi="宋体" w:cs="宋体"/>
              </w:rPr>
              <w:t>★</w:t>
            </w:r>
          </w:p>
        </w:tc>
        <w:tc>
          <w:tcPr>
            <w:tcW w:w="972" w:type="pct"/>
            <w:vAlign w:val="center"/>
          </w:tcPr>
          <w:p w14:paraId="5E46F90E">
            <w:pPr>
              <w:pStyle w:val="18"/>
              <w:widowControl w:val="0"/>
              <w:adjustRightInd w:val="0"/>
              <w:snapToGrid w:val="0"/>
              <w:spacing w:line="360" w:lineRule="auto"/>
              <w:rPr>
                <w:rFonts w:ascii="宋体"/>
              </w:rPr>
            </w:pPr>
            <w:r>
              <w:rPr>
                <w:rFonts w:hint="eastAsia" w:ascii="宋体" w:hAnsi="宋体" w:cs="宋体"/>
              </w:rPr>
              <w:t>★</w:t>
            </w:r>
          </w:p>
        </w:tc>
      </w:tr>
      <w:tr w14:paraId="4D073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7E1CF68">
            <w:pPr>
              <w:pStyle w:val="18"/>
              <w:widowControl w:val="0"/>
              <w:adjustRightInd w:val="0"/>
              <w:snapToGrid w:val="0"/>
              <w:spacing w:line="360" w:lineRule="auto"/>
              <w:rPr>
                <w:rFonts w:ascii="宋体"/>
                <w:lang w:val="en-GB"/>
              </w:rPr>
            </w:pPr>
            <w:r>
              <w:rPr>
                <w:rFonts w:ascii="宋体"/>
                <w:lang w:val="en-GB"/>
              </w:rPr>
              <w:t>4</w:t>
            </w:r>
          </w:p>
        </w:tc>
        <w:tc>
          <w:tcPr>
            <w:tcW w:w="1285" w:type="pct"/>
            <w:vAlign w:val="center"/>
          </w:tcPr>
          <w:p w14:paraId="15274436">
            <w:pPr>
              <w:pStyle w:val="18"/>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1FEA7DE1">
            <w:pPr>
              <w:pStyle w:val="18"/>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616DE3F3">
            <w:pPr>
              <w:pStyle w:val="18"/>
              <w:widowControl w:val="0"/>
              <w:adjustRightInd w:val="0"/>
              <w:snapToGrid w:val="0"/>
              <w:spacing w:line="360" w:lineRule="auto"/>
              <w:rPr>
                <w:rFonts w:ascii="宋体"/>
              </w:rPr>
            </w:pPr>
          </w:p>
        </w:tc>
        <w:tc>
          <w:tcPr>
            <w:tcW w:w="972" w:type="pct"/>
            <w:vAlign w:val="center"/>
          </w:tcPr>
          <w:p w14:paraId="1522F174">
            <w:pPr>
              <w:pStyle w:val="18"/>
              <w:widowControl w:val="0"/>
              <w:adjustRightInd w:val="0"/>
              <w:snapToGrid w:val="0"/>
              <w:spacing w:line="360" w:lineRule="auto"/>
              <w:rPr>
                <w:rFonts w:ascii="宋体"/>
              </w:rPr>
            </w:pPr>
          </w:p>
        </w:tc>
      </w:tr>
    </w:tbl>
    <w:p w14:paraId="446F3E17">
      <w:pPr>
        <w:pStyle w:val="15"/>
        <w:widowControl w:val="0"/>
        <w:spacing w:line="360" w:lineRule="auto"/>
        <w:ind w:firstLine="420"/>
        <w:rPr>
          <w:rFonts w:ascii="黑体" w:hAnsi="黑体" w:eastAsia="黑体"/>
          <w:sz w:val="21"/>
          <w:szCs w:val="21"/>
          <w:u w:color="000000"/>
        </w:rPr>
      </w:pPr>
      <w:r>
        <w:rPr>
          <w:rFonts w:ascii="黑体" w:hAnsi="黑体" w:eastAsia="黑体"/>
          <w:sz w:val="21"/>
          <w:szCs w:val="21"/>
          <w:u w:color="000000"/>
        </w:rPr>
        <w:t>注：表中“★”表示采用的评价方法。</w:t>
      </w:r>
    </w:p>
    <w:p w14:paraId="4D892009">
      <w:pPr>
        <w:rPr>
          <w:rFonts w:eastAsia="黑体"/>
          <w:kern w:val="2"/>
          <w:sz w:val="32"/>
          <w:szCs w:val="21"/>
        </w:rPr>
      </w:pPr>
      <w:bookmarkStart w:id="44" w:name="_Toc102634414"/>
      <w:bookmarkStart w:id="45" w:name="_Toc102633914"/>
      <w:bookmarkStart w:id="46" w:name="_Toc9894"/>
      <w:bookmarkStart w:id="47" w:name="_Toc102634276"/>
      <w:bookmarkStart w:id="48" w:name="_Toc15033761"/>
      <w:bookmarkStart w:id="49" w:name="_Toc102633988"/>
      <w:r>
        <w:rPr>
          <w:rFonts w:eastAsia="黑体"/>
          <w:kern w:val="2"/>
          <w:sz w:val="32"/>
          <w:szCs w:val="21"/>
        </w:rPr>
        <w:br w:type="page"/>
      </w:r>
    </w:p>
    <w:p w14:paraId="609D3176">
      <w:pPr>
        <w:pStyle w:val="15"/>
        <w:ind w:firstLine="640"/>
        <w:jc w:val="center"/>
        <w:rPr>
          <w:rFonts w:eastAsia="黑体"/>
          <w:kern w:val="2"/>
          <w:sz w:val="32"/>
          <w:szCs w:val="21"/>
        </w:rPr>
      </w:pPr>
      <w:r>
        <w:rPr>
          <w:rFonts w:eastAsia="黑体"/>
          <w:kern w:val="2"/>
          <w:sz w:val="32"/>
          <w:szCs w:val="21"/>
        </w:rPr>
        <w:t>第六章  安全对策措施及建议</w:t>
      </w:r>
      <w:bookmarkEnd w:id="44"/>
      <w:bookmarkEnd w:id="45"/>
      <w:bookmarkEnd w:id="46"/>
      <w:bookmarkEnd w:id="47"/>
      <w:bookmarkEnd w:id="48"/>
      <w:bookmarkEnd w:id="49"/>
    </w:p>
    <w:p w14:paraId="6D69B9AD">
      <w:pPr>
        <w:pStyle w:val="15"/>
        <w:ind w:firstLine="643"/>
        <w:jc w:val="center"/>
        <w:rPr>
          <w:rFonts w:ascii="黑体" w:hAnsi="黑体" w:eastAsia="黑体"/>
          <w:b/>
        </w:rPr>
      </w:pPr>
      <w:bookmarkStart w:id="50" w:name="_Toc339456079"/>
      <w:bookmarkStart w:id="51" w:name="_Toc225046264"/>
      <w:bookmarkStart w:id="52" w:name="_Toc15033762"/>
      <w:bookmarkStart w:id="53" w:name="_Toc102634277"/>
      <w:bookmarkStart w:id="54" w:name="_Toc102633989"/>
      <w:bookmarkStart w:id="55" w:name="_Toc102633915"/>
      <w:bookmarkStart w:id="56" w:name="_Toc242065302"/>
      <w:bookmarkStart w:id="57" w:name="_Toc102634415"/>
      <w:bookmarkStart w:id="58" w:name="_Toc4961"/>
      <w:bookmarkStart w:id="59" w:name="_Toc348877039"/>
      <w:r>
        <w:rPr>
          <w:rFonts w:ascii="Calibri" w:hAnsi="Calibri" w:eastAsia="楷体_GB2312" w:cstheme="minorBidi"/>
          <w:b/>
          <w:sz w:val="32"/>
        </w:rPr>
        <w:t xml:space="preserve">第一节 </w:t>
      </w:r>
      <w:bookmarkEnd w:id="50"/>
      <w:bookmarkEnd w:id="51"/>
      <w:r>
        <w:rPr>
          <w:rFonts w:ascii="Calibri" w:hAnsi="Calibri" w:eastAsia="楷体_GB2312" w:cstheme="minorBidi"/>
          <w:b/>
          <w:sz w:val="32"/>
        </w:rPr>
        <w:t>存在的问题及整改建议</w:t>
      </w:r>
      <w:bookmarkEnd w:id="52"/>
      <w:bookmarkEnd w:id="53"/>
      <w:bookmarkEnd w:id="54"/>
      <w:bookmarkEnd w:id="55"/>
      <w:bookmarkEnd w:id="56"/>
      <w:bookmarkEnd w:id="57"/>
      <w:bookmarkEnd w:id="58"/>
      <w:bookmarkEnd w:id="59"/>
    </w:p>
    <w:p w14:paraId="3EABC84F">
      <w:pPr>
        <w:keepLines w:val="0"/>
        <w:overflowPunct/>
        <w:bidi w:val="0"/>
        <w:adjustRightInd w:val="0"/>
        <w:snapToGrid w:val="0"/>
        <w:spacing w:line="360" w:lineRule="auto"/>
        <w:ind w:firstLine="560" w:firstLineChars="200"/>
        <w:rPr>
          <w:rFonts w:ascii="宋体"/>
          <w:kern w:val="0"/>
          <w:sz w:val="28"/>
          <w:szCs w:val="20"/>
        </w:rPr>
      </w:pPr>
      <w:bookmarkStart w:id="60" w:name="_Toc49590281"/>
      <w:bookmarkStart w:id="61" w:name="_Toc15033763"/>
      <w:r>
        <w:rPr>
          <w:rFonts w:ascii="宋体"/>
          <w:kern w:val="0"/>
          <w:sz w:val="28"/>
          <w:szCs w:val="20"/>
        </w:rPr>
        <w:t>通过现场检查和审查有关资料</w:t>
      </w:r>
      <w:r>
        <w:rPr>
          <w:rFonts w:hint="eastAsia" w:ascii="宋体"/>
          <w:kern w:val="0"/>
          <w:sz w:val="28"/>
          <w:szCs w:val="20"/>
        </w:rPr>
        <w:t>可以看出，该加油站发现以下问题：</w:t>
      </w:r>
    </w:p>
    <w:bookmarkEnd w:id="60"/>
    <w:bookmarkEnd w:id="61"/>
    <w:p w14:paraId="697535A9">
      <w:pPr>
        <w:keepLines w:val="0"/>
        <w:widowControl/>
        <w:overflowPunct/>
        <w:bidi w:val="0"/>
        <w:adjustRightInd w:val="0"/>
        <w:snapToGrid w:val="0"/>
        <w:spacing w:line="360" w:lineRule="auto"/>
        <w:ind w:firstLine="480"/>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1FCB3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030369A">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19C9FED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B6B617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22812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FFCB4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5C6036D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加油岛防撞柱直径不足100mm，加油岛宽度不足1.2m；</w:t>
            </w:r>
          </w:p>
        </w:tc>
        <w:tc>
          <w:tcPr>
            <w:tcW w:w="4740" w:type="dxa"/>
            <w:vAlign w:val="center"/>
          </w:tcPr>
          <w:p w14:paraId="79488A5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ascii="宋体" w:hAnsi="宋体" w:eastAsia="宋体"/>
                <w:kern w:val="0"/>
                <w:u w:color="000000"/>
                <w:lang w:val="en-US" w:eastAsia="zh-CN"/>
              </w:rPr>
            </w:pPr>
            <w:r>
              <w:rPr>
                <w:rFonts w:hint="eastAsia" w:ascii="宋体" w:hAnsi="宋体"/>
                <w:kern w:val="0"/>
                <w:u w:color="000000"/>
                <w:lang w:val="en-US" w:eastAsia="zh-CN"/>
              </w:rPr>
              <w:t>应更换符合要求的防撞柱并加宽加油岛；</w:t>
            </w:r>
          </w:p>
        </w:tc>
      </w:tr>
      <w:tr w14:paraId="7772B2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A81240">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hint="default" w:ascii="宋体" w:hAnsi="宋体" w:eastAsia="宋体"/>
                <w:bCs/>
                <w:kern w:val="0"/>
                <w:position w:val="2"/>
                <w:u w:color="000000"/>
                <w:lang w:val="en-US" w:eastAsia="zh-CN"/>
              </w:rPr>
            </w:pPr>
            <w:r>
              <w:rPr>
                <w:rFonts w:hint="eastAsia" w:ascii="宋体" w:hAnsi="宋体"/>
                <w:bCs/>
                <w:kern w:val="0"/>
                <w:position w:val="2"/>
                <w:u w:color="000000"/>
                <w:lang w:val="en-US" w:eastAsia="zh-CN"/>
              </w:rPr>
              <w:t>2</w:t>
            </w:r>
          </w:p>
        </w:tc>
        <w:tc>
          <w:tcPr>
            <w:tcW w:w="3845" w:type="dxa"/>
            <w:vAlign w:val="center"/>
          </w:tcPr>
          <w:p w14:paraId="48039E6B">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lang w:val="en-US" w:eastAsia="zh-CN"/>
              </w:rPr>
            </w:pPr>
            <w:r>
              <w:rPr>
                <w:rFonts w:hint="eastAsia"/>
                <w:lang w:val="en-US" w:eastAsia="zh-CN"/>
              </w:rPr>
              <w:t>站区南侧停车场与站区用地界限未设置隔挡；</w:t>
            </w:r>
          </w:p>
        </w:tc>
        <w:tc>
          <w:tcPr>
            <w:tcW w:w="4740" w:type="dxa"/>
            <w:vAlign w:val="center"/>
          </w:tcPr>
          <w:p w14:paraId="7317E60B">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lang w:val="en-US" w:eastAsia="zh-CN"/>
              </w:rPr>
            </w:pPr>
            <w:r>
              <w:rPr>
                <w:rFonts w:hint="eastAsia"/>
                <w:lang w:val="en-US" w:eastAsia="zh-CN"/>
              </w:rPr>
              <w:t>站区南侧停车场与站区用地界限应设置隔挡；</w:t>
            </w:r>
          </w:p>
        </w:tc>
      </w:tr>
      <w:tr w14:paraId="01BC71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A10BDB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hint="default" w:ascii="宋体" w:hAnsi="宋体"/>
                <w:bCs/>
                <w:kern w:val="0"/>
                <w:position w:val="2"/>
                <w:u w:color="000000"/>
                <w:lang w:val="en-US" w:eastAsia="zh-CN"/>
              </w:rPr>
            </w:pPr>
            <w:r>
              <w:rPr>
                <w:rFonts w:hint="eastAsia" w:ascii="宋体" w:hAnsi="宋体"/>
                <w:bCs/>
                <w:kern w:val="0"/>
                <w:position w:val="2"/>
                <w:u w:color="000000"/>
                <w:lang w:val="en-US" w:eastAsia="zh-CN"/>
              </w:rPr>
              <w:t>3</w:t>
            </w:r>
          </w:p>
        </w:tc>
        <w:tc>
          <w:tcPr>
            <w:tcW w:w="3845" w:type="dxa"/>
            <w:vAlign w:val="center"/>
          </w:tcPr>
          <w:p w14:paraId="734DB818">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lang w:val="en-US" w:eastAsia="zh-CN"/>
              </w:rPr>
            </w:pPr>
            <w:r>
              <w:rPr>
                <w:rFonts w:hint="eastAsia"/>
                <w:lang w:val="en-US" w:eastAsia="zh-CN"/>
              </w:rPr>
              <w:t>烧煤厨房与储罐间距小于25m，面向储罐一侧设有门窗等洞口；</w:t>
            </w:r>
          </w:p>
        </w:tc>
        <w:tc>
          <w:tcPr>
            <w:tcW w:w="4740" w:type="dxa"/>
            <w:vAlign w:val="center"/>
          </w:tcPr>
          <w:p w14:paraId="62D72023">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lang w:val="en-US" w:eastAsia="zh-CN"/>
              </w:rPr>
            </w:pPr>
            <w:r>
              <w:rPr>
                <w:rFonts w:hint="eastAsia"/>
                <w:lang w:val="en-US" w:eastAsia="zh-CN"/>
              </w:rPr>
              <w:t>应封堵面向作业区一侧门窗；</w:t>
            </w:r>
          </w:p>
        </w:tc>
      </w:tr>
      <w:tr w14:paraId="2F34F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CC9EED5">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hint="default" w:ascii="宋体" w:hAnsi="宋体"/>
                <w:bCs/>
                <w:kern w:val="0"/>
                <w:position w:val="2"/>
                <w:u w:color="000000"/>
                <w:lang w:val="en-US" w:eastAsia="zh-CN"/>
              </w:rPr>
            </w:pPr>
            <w:r>
              <w:rPr>
                <w:rFonts w:hint="eastAsia" w:ascii="宋体" w:hAnsi="宋体"/>
                <w:bCs/>
                <w:kern w:val="0"/>
                <w:position w:val="2"/>
                <w:u w:color="000000"/>
                <w:lang w:val="en-US" w:eastAsia="zh-CN"/>
              </w:rPr>
              <w:t>4</w:t>
            </w:r>
          </w:p>
        </w:tc>
        <w:tc>
          <w:tcPr>
            <w:tcW w:w="3845" w:type="dxa"/>
            <w:vAlign w:val="center"/>
          </w:tcPr>
          <w:p w14:paraId="315B483E">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lang w:val="en-US" w:eastAsia="zh-CN"/>
              </w:rPr>
            </w:pPr>
            <w:r>
              <w:rPr>
                <w:rFonts w:hint="eastAsia"/>
                <w:lang w:val="en-US" w:eastAsia="zh-CN"/>
              </w:rPr>
              <w:t>人体静电释放仪距卸油口不足1.5m，操作井内部分接线盒未接地。</w:t>
            </w:r>
          </w:p>
        </w:tc>
        <w:tc>
          <w:tcPr>
            <w:tcW w:w="4740" w:type="dxa"/>
            <w:vAlign w:val="center"/>
          </w:tcPr>
          <w:p w14:paraId="352E1BF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hint="default"/>
                <w:lang w:val="en-US" w:eastAsia="zh-CN"/>
              </w:rPr>
            </w:pPr>
            <w:r>
              <w:rPr>
                <w:rFonts w:hint="eastAsia"/>
                <w:lang w:val="en-US" w:eastAsia="zh-CN"/>
              </w:rPr>
              <w:t>应将人体静电释放仪移至卸油口1.5m处，操作井内接线盒应接地。</w:t>
            </w:r>
          </w:p>
        </w:tc>
      </w:tr>
    </w:tbl>
    <w:p w14:paraId="13379AD0">
      <w:pPr>
        <w:pStyle w:val="15"/>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kern w:val="0"/>
          <w:sz w:val="28"/>
          <w:szCs w:val="20"/>
        </w:rPr>
        <w:t>该加油站将上述问题整改合格后，在安全管理、站址选择及总平面布置、加油工艺及设施、其它设施等方面符合有关法律、标准规范的要求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3"/>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60085" cy="8867140"/>
            <wp:effectExtent l="0" t="0" r="12065" b="10160"/>
            <wp:docPr id="8" name="图片 8" descr="扫描全能王 ⁨2025-6-20 14.3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6-20 14.37⁩_4"/>
                    <pic:cNvPicPr>
                      <a:picLocks noChangeAspect="1"/>
                    </pic:cNvPicPr>
                  </pic:nvPicPr>
                  <pic:blipFill>
                    <a:blip r:embed="rId9"/>
                    <a:stretch>
                      <a:fillRect/>
                    </a:stretch>
                  </pic:blipFill>
                  <pic:spPr>
                    <a:xfrm>
                      <a:off x="0" y="0"/>
                      <a:ext cx="5760085" cy="886714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58815" cy="8827770"/>
            <wp:effectExtent l="0" t="0" r="13335" b="11430"/>
            <wp:docPr id="7" name="图片 7" descr="扫描全能王 ⁨2025-6-20 14.3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6-20 14.37⁩_5"/>
                    <pic:cNvPicPr>
                      <a:picLocks noChangeAspect="1"/>
                    </pic:cNvPicPr>
                  </pic:nvPicPr>
                  <pic:blipFill>
                    <a:blip r:embed="rId10"/>
                    <a:stretch>
                      <a:fillRect/>
                    </a:stretch>
                  </pic:blipFill>
                  <pic:spPr>
                    <a:xfrm>
                      <a:off x="0" y="0"/>
                      <a:ext cx="5758815" cy="882777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60085" cy="8511540"/>
            <wp:effectExtent l="0" t="0" r="12065" b="3810"/>
            <wp:docPr id="6" name="图片 6" descr="扫描全能王 ⁨2025-6-20 14.3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6-20 14.37⁩_6"/>
                    <pic:cNvPicPr>
                      <a:picLocks noChangeAspect="1"/>
                    </pic:cNvPicPr>
                  </pic:nvPicPr>
                  <pic:blipFill>
                    <a:blip r:embed="rId11"/>
                    <a:stretch>
                      <a:fillRect/>
                    </a:stretch>
                  </pic:blipFill>
                  <pic:spPr>
                    <a:xfrm>
                      <a:off x="0" y="0"/>
                      <a:ext cx="5760085" cy="8511540"/>
                    </a:xfrm>
                    <a:prstGeom prst="rect">
                      <a:avLst/>
                    </a:prstGeom>
                  </pic:spPr>
                </pic:pic>
              </a:graphicData>
            </a:graphic>
          </wp:inline>
        </w:drawing>
      </w: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3B21DD7"/>
    <w:rsid w:val="03CC63D7"/>
    <w:rsid w:val="09D5345C"/>
    <w:rsid w:val="0A27015B"/>
    <w:rsid w:val="0BD51C61"/>
    <w:rsid w:val="0D0B1052"/>
    <w:rsid w:val="0EC853E9"/>
    <w:rsid w:val="0EDC1223"/>
    <w:rsid w:val="13C277AD"/>
    <w:rsid w:val="13D12EE6"/>
    <w:rsid w:val="153C4810"/>
    <w:rsid w:val="16BC1C2B"/>
    <w:rsid w:val="1E1E483E"/>
    <w:rsid w:val="22CB7136"/>
    <w:rsid w:val="284F788D"/>
    <w:rsid w:val="28E348A1"/>
    <w:rsid w:val="2A9D36CA"/>
    <w:rsid w:val="2E374561"/>
    <w:rsid w:val="2EB02BD7"/>
    <w:rsid w:val="2EC41433"/>
    <w:rsid w:val="335F1F61"/>
    <w:rsid w:val="355F439E"/>
    <w:rsid w:val="35CC29B8"/>
    <w:rsid w:val="3B343FFC"/>
    <w:rsid w:val="3BB85D78"/>
    <w:rsid w:val="420C1409"/>
    <w:rsid w:val="46BE3C6F"/>
    <w:rsid w:val="4706325F"/>
    <w:rsid w:val="48FE4AE5"/>
    <w:rsid w:val="4B7D0EF4"/>
    <w:rsid w:val="510C73E4"/>
    <w:rsid w:val="537F016A"/>
    <w:rsid w:val="54F4335B"/>
    <w:rsid w:val="563D798B"/>
    <w:rsid w:val="567C6788"/>
    <w:rsid w:val="579A241E"/>
    <w:rsid w:val="58081FD7"/>
    <w:rsid w:val="59D26E89"/>
    <w:rsid w:val="5A893A0E"/>
    <w:rsid w:val="5AB85F0C"/>
    <w:rsid w:val="5E953707"/>
    <w:rsid w:val="68772688"/>
    <w:rsid w:val="68F91E38"/>
    <w:rsid w:val="69D758E7"/>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4">
    <w:name w:val="Normal Indent"/>
    <w:basedOn w:val="1"/>
    <w:qFormat/>
    <w:uiPriority w:val="99"/>
    <w:pPr>
      <w:ind w:firstLine="420"/>
    </w:pPr>
  </w:style>
  <w:style w:type="paragraph" w:styleId="5">
    <w:name w:val="annotation text"/>
    <w:basedOn w:val="1"/>
    <w:qFormat/>
    <w:uiPriority w:val="0"/>
    <w:pPr>
      <w:jc w:val="left"/>
    </w:pPr>
  </w:style>
  <w:style w:type="paragraph" w:styleId="6">
    <w:name w:val="Body Text Indent"/>
    <w:basedOn w:val="1"/>
    <w:qFormat/>
    <w:uiPriority w:val="0"/>
    <w:pPr>
      <w:spacing w:after="120"/>
      <w:ind w:left="420" w:leftChars="200"/>
    </w:pPr>
  </w:style>
  <w:style w:type="paragraph" w:styleId="7">
    <w:name w:val="Plain Text"/>
    <w:basedOn w:val="1"/>
    <w:unhideWhenUsed/>
    <w:qFormat/>
    <w:uiPriority w:val="99"/>
    <w:rPr>
      <w:rFonts w:ascii="宋体" w:hAnsi="Courier New"/>
      <w:kern w:val="0"/>
      <w:sz w:val="20"/>
      <w:szCs w:val="20"/>
    </w:rPr>
  </w:style>
  <w:style w:type="paragraph" w:styleId="8">
    <w:name w:val="Body Text First Indent 2"/>
    <w:basedOn w:val="6"/>
    <w:next w:val="1"/>
    <w:qFormat/>
    <w:uiPriority w:val="0"/>
    <w:pPr>
      <w:tabs>
        <w:tab w:val="left" w:pos="6120"/>
      </w:tabs>
      <w:spacing w:line="520" w:lineRule="exact"/>
      <w:ind w:left="0" w:leftChars="0"/>
    </w:pPr>
    <w:rPr>
      <w:rFonts w:ascii="黑体" w:hAnsi="黑体" w:eastAsia="黑体" w:cs="宋体"/>
      <w:sz w:val="28"/>
    </w:rPr>
  </w:style>
  <w:style w:type="paragraph" w:customStyle="1" w:styleId="11">
    <w:name w:val="111"/>
    <w:basedOn w:val="12"/>
    <w:qFormat/>
    <w:uiPriority w:val="0"/>
    <w:pPr>
      <w:widowControl/>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eastAsia="en-US"/>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7"/>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3493</Words>
  <Characters>3831</Characters>
  <Lines>25</Lines>
  <Paragraphs>7</Paragraphs>
  <TotalTime>4</TotalTime>
  <ScaleCrop>false</ScaleCrop>
  <LinksUpToDate>false</LinksUpToDate>
  <CharactersWithSpaces>3879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2025-05-05T07:20:51Z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