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13B6EF14">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中国石油天然气股份有限公司山东泰安销售分公司范镇高速出口加油站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该加油站现有埋地双层储油罐4只，1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92#</w:t>
            </w:r>
            <w:r>
              <w:rPr>
                <w:rFonts w:hint="eastAsia"/>
                <w:color w:val="auto"/>
                <w:lang w:val="en-US" w:eastAsia="zh-CN"/>
              </w:rPr>
              <w:t>乙醇</w:t>
            </w:r>
            <w:r>
              <w:rPr>
                <w:rFonts w:hint="eastAsia"/>
                <w:color w:val="auto"/>
                <w:lang w:eastAsia="zh-CN"/>
              </w:rPr>
              <w:t>汽油</w:t>
            </w:r>
            <w:r>
              <w:rPr>
                <w:rFonts w:hint="eastAsia"/>
                <w:color w:val="auto"/>
              </w:rPr>
              <w:t>罐、</w:t>
            </w:r>
            <w:r>
              <w:rPr>
                <w:color w:val="auto"/>
              </w:rPr>
              <w:t>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95#</w:t>
            </w:r>
            <w:r>
              <w:rPr>
                <w:rFonts w:hint="eastAsia"/>
                <w:color w:val="auto"/>
                <w:lang w:eastAsia="zh-CN"/>
              </w:rPr>
              <w:t>汽油</w:t>
            </w:r>
            <w:r>
              <w:rPr>
                <w:rFonts w:hint="eastAsia"/>
                <w:color w:val="auto"/>
                <w:lang w:val="en-US" w:eastAsia="zh-CN"/>
              </w:rPr>
              <w:t>罐</w:t>
            </w:r>
            <w:r>
              <w:rPr>
                <w:rFonts w:hint="eastAsia"/>
                <w:color w:val="auto"/>
                <w:lang w:eastAsia="zh-CN"/>
              </w:rPr>
              <w:t>、</w:t>
            </w:r>
            <w:r>
              <w:rPr>
                <w:rFonts w:hint="eastAsia"/>
                <w:color w:val="auto"/>
                <w:lang w:val="en-US" w:eastAsia="zh-CN"/>
              </w:rPr>
              <w:t>2</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柴油罐</w:t>
            </w:r>
            <w:r>
              <w:rPr>
                <w:rFonts w:hint="eastAsia"/>
                <w:color w:val="auto"/>
                <w:highlight w:val="none"/>
                <w:lang w:eastAsia="zh-CN"/>
              </w:rPr>
              <w:t>。</w:t>
            </w:r>
            <w:r>
              <w:rPr>
                <w:rFonts w:hint="eastAsia"/>
                <w:color w:val="auto"/>
                <w:lang w:val="en-US" w:eastAsia="zh-CN"/>
              </w:rPr>
              <w:t>加油站设置4座加油岛，共设</w:t>
            </w:r>
            <w:r>
              <w:rPr>
                <w:rFonts w:hint="eastAsia"/>
                <w:color w:val="auto"/>
                <w:highlight w:val="none"/>
                <w:lang w:val="en-US" w:eastAsia="zh-CN"/>
              </w:rPr>
              <w:t>4台双枪加油机：2</w:t>
            </w:r>
            <w:r>
              <w:rPr>
                <w:rFonts w:hint="eastAsia" w:ascii="宋体" w:hAnsi="宋体" w:cs="宋体"/>
                <w:bCs/>
                <w:color w:val="auto"/>
                <w:highlight w:val="none"/>
              </w:rPr>
              <w:t>台</w:t>
            </w:r>
            <w:r>
              <w:rPr>
                <w:rFonts w:hint="eastAsia" w:ascii="宋体" w:hAnsi="宋体" w:cs="宋体"/>
                <w:bCs/>
                <w:color w:val="auto"/>
                <w:highlight w:val="none"/>
                <w:lang w:val="en-US" w:eastAsia="zh-CN"/>
              </w:rPr>
              <w:t>柴油加油机、1台92#乙醇汽油/95#汽油加油机、1台92#乙醇汽油加油机</w:t>
            </w:r>
            <w:r>
              <w:rPr>
                <w:rFonts w:hint="eastAsia" w:ascii="宋体" w:hAnsi="宋体" w:eastAsia="宋体" w:cs="宋体"/>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2024.11.25</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2025.3.22</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2025.3.25</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2025.3.27</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安全评价报告提交时间：2025.4.7</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6E9A4C08">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0" w:name="_Toc15033742"/>
      <w:bookmarkStart w:id="1" w:name="_Toc102633969"/>
      <w:bookmarkStart w:id="2" w:name="_Toc8295"/>
      <w:bookmarkStart w:id="3" w:name="_Toc102634395"/>
      <w:bookmarkStart w:id="4" w:name="_Toc102633895"/>
      <w:bookmarkStart w:id="5" w:name="_Toc102634226"/>
      <w:r>
        <w:rPr>
          <w:rFonts w:hint="eastAsia"/>
          <w:color w:val="auto"/>
          <w:highlight w:val="none"/>
        </w:rPr>
        <w:t>第二章 加油站概况</w:t>
      </w:r>
      <w:bookmarkEnd w:id="0"/>
      <w:bookmarkEnd w:id="1"/>
      <w:bookmarkEnd w:id="2"/>
      <w:bookmarkEnd w:id="3"/>
      <w:bookmarkEnd w:id="4"/>
      <w:bookmarkEnd w:id="5"/>
    </w:p>
    <w:p w14:paraId="75DFB68C">
      <w:pPr>
        <w:pStyle w:val="4"/>
        <w:spacing w:before="312" w:beforeLines="100" w:after="312" w:afterLines="100" w:line="360" w:lineRule="auto"/>
        <w:ind w:firstLine="0"/>
        <w:rPr>
          <w:rFonts w:hint="eastAsia"/>
          <w:color w:val="auto"/>
          <w:highlight w:val="none"/>
        </w:rPr>
      </w:pPr>
      <w:bookmarkStart w:id="6" w:name="_Toc272364524"/>
      <w:bookmarkStart w:id="7" w:name="_Toc102633896"/>
      <w:bookmarkStart w:id="8" w:name="_Toc30066"/>
      <w:bookmarkStart w:id="9" w:name="_Toc102634227"/>
      <w:bookmarkStart w:id="10" w:name="_Toc13779"/>
      <w:bookmarkStart w:id="11" w:name="_Toc15033743"/>
      <w:bookmarkStart w:id="12" w:name="_Toc208733856"/>
      <w:bookmarkStart w:id="13" w:name="_Toc26504"/>
      <w:bookmarkStart w:id="14" w:name="_Toc102634396"/>
      <w:bookmarkStart w:id="15" w:name="_Toc102633970"/>
      <w:r>
        <w:rPr>
          <w:rFonts w:hint="eastAsia"/>
          <w:color w:val="auto"/>
          <w:highlight w:val="none"/>
        </w:rPr>
        <w:t>第一节 加油站基本情况</w:t>
      </w:r>
      <w:bookmarkEnd w:id="6"/>
      <w:bookmarkEnd w:id="7"/>
      <w:bookmarkEnd w:id="8"/>
      <w:bookmarkEnd w:id="9"/>
      <w:bookmarkEnd w:id="10"/>
      <w:bookmarkEnd w:id="11"/>
      <w:bookmarkEnd w:id="12"/>
      <w:bookmarkEnd w:id="13"/>
      <w:bookmarkEnd w:id="14"/>
      <w:bookmarkEnd w:id="15"/>
    </w:p>
    <w:p w14:paraId="0957CBF7">
      <w:pPr>
        <w:adjustRightInd w:val="0"/>
        <w:snapToGrid w:val="0"/>
        <w:spacing w:line="360" w:lineRule="auto"/>
        <w:ind w:firstLine="560" w:firstLineChars="200"/>
        <w:rPr>
          <w:rFonts w:ascii="宋体"/>
          <w:color w:val="auto"/>
          <w:highlight w:val="none"/>
        </w:rPr>
      </w:pPr>
      <w:r>
        <w:rPr>
          <w:rFonts w:hint="eastAsia" w:ascii="宋体" w:hAnsi="宋体"/>
          <w:color w:val="auto"/>
          <w:sz w:val="28"/>
          <w:szCs w:val="28"/>
          <w:highlight w:val="none"/>
          <w:lang w:eastAsia="zh-CN"/>
        </w:rPr>
        <w:t>中国石油天然气股份有限公司山东泰安销售分公司范镇高速出口加油站（</w:t>
      </w:r>
      <w:r>
        <w:rPr>
          <w:rFonts w:hint="eastAsia" w:ascii="宋体" w:hAnsi="宋体"/>
          <w:color w:val="auto"/>
          <w:sz w:val="28"/>
          <w:szCs w:val="28"/>
          <w:highlight w:val="none"/>
          <w:lang w:val="en-US" w:eastAsia="zh-CN"/>
        </w:rPr>
        <w:t>原名泰安东海石油化工有限公司范镇高速口加油站</w:t>
      </w:r>
      <w:r>
        <w:rPr>
          <w:rFonts w:hint="eastAsia" w:ascii="宋体" w:hAnsi="宋体"/>
          <w:color w:val="auto"/>
          <w:sz w:val="28"/>
          <w:szCs w:val="28"/>
          <w:highlight w:val="none"/>
          <w:lang w:eastAsia="zh-CN"/>
        </w:rPr>
        <w:t>）</w:t>
      </w:r>
      <w:r>
        <w:rPr>
          <w:rFonts w:hint="eastAsia" w:ascii="宋体" w:hAnsi="宋体"/>
          <w:color w:val="auto"/>
          <w:sz w:val="28"/>
          <w:szCs w:val="28"/>
          <w:highlight w:val="none"/>
        </w:rPr>
        <w:t>位于</w:t>
      </w:r>
      <w:r>
        <w:rPr>
          <w:rFonts w:hint="eastAsia" w:ascii="宋体" w:hAnsi="宋体"/>
          <w:color w:val="auto"/>
          <w:sz w:val="28"/>
          <w:highlight w:val="none"/>
          <w:lang w:eastAsia="zh-CN"/>
        </w:rPr>
        <w:t>泰安市范镇东村泰莱高速路与S103省道交汇处东南角</w:t>
      </w:r>
      <w:r>
        <w:rPr>
          <w:rFonts w:hint="eastAsia" w:ascii="宋体" w:hAnsi="宋体"/>
          <w:color w:val="auto"/>
          <w:sz w:val="28"/>
          <w:szCs w:val="28"/>
          <w:highlight w:val="none"/>
        </w:rPr>
        <w:t>，</w:t>
      </w:r>
      <w:r>
        <w:rPr>
          <w:rFonts w:hint="eastAsia" w:ascii="宋体" w:hAnsi="宋体"/>
          <w:color w:val="auto"/>
          <w:sz w:val="28"/>
          <w:szCs w:val="28"/>
          <w:highlight w:val="none"/>
          <w:lang w:eastAsia="zh-CN"/>
        </w:rPr>
        <w:t>加油站</w:t>
      </w:r>
      <w:r>
        <w:rPr>
          <w:rFonts w:hint="eastAsia" w:ascii="宋体" w:hAnsi="宋体"/>
          <w:color w:val="auto"/>
          <w:sz w:val="28"/>
          <w:szCs w:val="28"/>
          <w:highlight w:val="none"/>
          <w:lang w:val="en-US" w:eastAsia="zh-CN"/>
        </w:rPr>
        <w:t>东</w:t>
      </w:r>
      <w:r>
        <w:rPr>
          <w:rFonts w:hint="eastAsia" w:ascii="宋体" w:hAnsi="宋体"/>
          <w:color w:val="auto"/>
          <w:sz w:val="28"/>
          <w:szCs w:val="28"/>
          <w:highlight w:val="none"/>
          <w:lang w:eastAsia="zh-CN"/>
        </w:rPr>
        <w:t>侧</w:t>
      </w:r>
      <w:r>
        <w:rPr>
          <w:rFonts w:hint="eastAsia" w:ascii="宋体" w:hAnsi="宋体"/>
          <w:color w:val="auto"/>
          <w:sz w:val="28"/>
          <w:szCs w:val="28"/>
          <w:highlight w:val="none"/>
          <w:lang w:val="en-US" w:eastAsia="zh-CN"/>
        </w:rPr>
        <w:t>是S103省道，西侧是饲料厂房（丙类），南侧是耐火材料厂房，北侧是民房。</w:t>
      </w:r>
      <w:r>
        <w:rPr>
          <w:rFonts w:hint="eastAsia" w:ascii="宋体" w:hAnsi="宋体"/>
          <w:color w:val="auto"/>
          <w:sz w:val="28"/>
          <w:highlight w:val="none"/>
        </w:rPr>
        <w:t>该站经营许可范围为</w:t>
      </w:r>
      <w:r>
        <w:rPr>
          <w:rFonts w:hint="eastAsia" w:asciiTheme="minorEastAsia" w:hAnsiTheme="minorEastAsia" w:eastAsiaTheme="minorEastAsia" w:cstheme="minorEastAsia"/>
          <w:color w:val="auto"/>
          <w:sz w:val="28"/>
          <w:szCs w:val="28"/>
          <w:highlight w:val="none"/>
          <w:lang w:eastAsia="zh-CN"/>
        </w:rPr>
        <w:t>汽油、乙醇汽油</w:t>
      </w:r>
      <w:r>
        <w:rPr>
          <w:rFonts w:hint="eastAsia" w:ascii="宋体" w:hAnsi="宋体"/>
          <w:color w:val="auto"/>
          <w:sz w:val="28"/>
          <w:highlight w:val="none"/>
        </w:rPr>
        <w:t>、柴油，</w:t>
      </w:r>
      <w:r>
        <w:rPr>
          <w:rFonts w:hint="eastAsia" w:ascii="宋体" w:hAnsi="宋体"/>
          <w:color w:val="auto"/>
          <w:sz w:val="28"/>
          <w:szCs w:val="28"/>
          <w:highlight w:val="none"/>
          <w:lang w:val="en-US" w:eastAsia="zh-CN"/>
        </w:rPr>
        <w:t>许可后</w:t>
      </w:r>
      <w:r>
        <w:rPr>
          <w:rFonts w:hint="eastAsia" w:ascii="宋体" w:hAnsi="宋体"/>
          <w:color w:val="auto"/>
          <w:sz w:val="28"/>
          <w:highlight w:val="none"/>
        </w:rPr>
        <w:t>主要经营储存</w:t>
      </w:r>
      <w:r>
        <w:rPr>
          <w:rFonts w:hint="eastAsia" w:ascii="宋体" w:hAnsi="宋体"/>
          <w:color w:val="auto"/>
          <w:sz w:val="28"/>
          <w:highlight w:val="none"/>
          <w:lang w:eastAsia="zh-CN"/>
        </w:rPr>
        <w:t>汽油、乙醇汽油</w:t>
      </w:r>
      <w:r>
        <w:rPr>
          <w:rFonts w:hint="eastAsia" w:ascii="宋体" w:hAnsi="宋体"/>
          <w:color w:val="auto"/>
          <w:sz w:val="28"/>
          <w:highlight w:val="none"/>
        </w:rPr>
        <w:t>、0#柴油（换季销售-</w:t>
      </w:r>
      <w:r>
        <w:rPr>
          <w:rFonts w:ascii="宋体" w:hAnsi="宋体"/>
          <w:color w:val="auto"/>
          <w:sz w:val="28"/>
          <w:highlight w:val="none"/>
        </w:rPr>
        <w:t>10#</w:t>
      </w:r>
      <w:r>
        <w:rPr>
          <w:rFonts w:hint="eastAsia" w:ascii="宋体" w:hAnsi="宋体"/>
          <w:color w:val="auto"/>
          <w:sz w:val="28"/>
          <w:highlight w:val="none"/>
        </w:rPr>
        <w:t>柴油）</w:t>
      </w:r>
      <w:r>
        <w:rPr>
          <w:rFonts w:hint="eastAsia" w:ascii="宋体" w:hAnsi="宋体"/>
          <w:snapToGrid w:val="0"/>
          <w:color w:val="auto"/>
          <w:kern w:val="0"/>
          <w:sz w:val="28"/>
          <w:highlight w:val="none"/>
        </w:rPr>
        <w:t>。</w:t>
      </w:r>
      <w:r>
        <w:rPr>
          <w:rFonts w:hint="eastAsia" w:ascii="宋体" w:hAnsi="宋体"/>
          <w:color w:val="auto"/>
          <w:sz w:val="28"/>
          <w:highlight w:val="none"/>
        </w:rPr>
        <w:t>此次现状评价报告与</w:t>
      </w:r>
      <w:r>
        <w:rPr>
          <w:rFonts w:hint="eastAsia" w:ascii="宋体" w:hAnsi="宋体"/>
          <w:color w:val="auto"/>
          <w:sz w:val="28"/>
          <w:highlight w:val="none"/>
          <w:lang w:val="en-US" w:eastAsia="zh-CN"/>
        </w:rPr>
        <w:t>上次</w:t>
      </w:r>
      <w:r>
        <w:rPr>
          <w:rFonts w:hint="eastAsia" w:ascii="宋体" w:hAnsi="宋体"/>
          <w:color w:val="auto"/>
          <w:sz w:val="28"/>
          <w:highlight w:val="none"/>
        </w:rPr>
        <w:t>报告相比，周边环境、站内设备设施、主要建构筑物未发生变化。</w:t>
      </w:r>
    </w:p>
    <w:p w14:paraId="10A5C1EE">
      <w:pPr>
        <w:pStyle w:val="17"/>
        <w:widowControl w:val="0"/>
        <w:adjustRightInd w:val="0"/>
        <w:snapToGrid w:val="0"/>
        <w:spacing w:line="360" w:lineRule="auto"/>
        <w:ind w:firstLine="560"/>
        <w:rPr>
          <w:rFonts w:ascii="宋体"/>
          <w:color w:val="auto"/>
          <w:highlight w:val="none"/>
          <w:vertAlign w:val="superscript"/>
        </w:rPr>
      </w:pPr>
      <w:r>
        <w:rPr>
          <w:rFonts w:hint="eastAsia" w:ascii="宋体" w:hAnsi="宋体"/>
          <w:color w:val="auto"/>
          <w:szCs w:val="28"/>
          <w:highlight w:val="none"/>
        </w:rPr>
        <w:t>该加油站主要建有站房、罩棚、油罐区、加油区等。加油区在</w:t>
      </w:r>
      <w:r>
        <w:rPr>
          <w:rFonts w:hint="eastAsia" w:ascii="宋体" w:hAnsi="宋体"/>
          <w:color w:val="auto"/>
          <w:szCs w:val="28"/>
          <w:highlight w:val="none"/>
          <w:lang w:val="en-US" w:eastAsia="zh-CN"/>
        </w:rPr>
        <w:t>站房西侧</w:t>
      </w:r>
      <w:r>
        <w:rPr>
          <w:rFonts w:hint="eastAsia" w:ascii="宋体" w:hAnsi="宋体"/>
          <w:color w:val="auto"/>
          <w:szCs w:val="28"/>
          <w:highlight w:val="none"/>
        </w:rPr>
        <w:t>，</w:t>
      </w:r>
      <w:r>
        <w:rPr>
          <w:rFonts w:hint="eastAsia" w:ascii="宋体" w:hAnsi="宋体"/>
          <w:color w:val="auto"/>
          <w:kern w:val="2"/>
          <w:szCs w:val="21"/>
          <w:highlight w:val="none"/>
        </w:rPr>
        <w:t>现有</w:t>
      </w:r>
      <w:r>
        <w:rPr>
          <w:rFonts w:hint="eastAsia"/>
          <w:color w:val="auto"/>
          <w:highlight w:val="none"/>
          <w:lang w:val="en-US" w:eastAsia="zh-CN"/>
        </w:rPr>
        <w:t>4台双枪加油机：2</w:t>
      </w:r>
      <w:r>
        <w:rPr>
          <w:rFonts w:hint="eastAsia" w:ascii="宋体" w:hAnsi="宋体" w:cs="宋体"/>
          <w:bCs/>
          <w:color w:val="auto"/>
          <w:highlight w:val="none"/>
        </w:rPr>
        <w:t>台</w:t>
      </w:r>
      <w:r>
        <w:rPr>
          <w:rFonts w:hint="eastAsia" w:ascii="宋体" w:hAnsi="宋体" w:cs="宋体"/>
          <w:bCs/>
          <w:color w:val="auto"/>
          <w:highlight w:val="none"/>
          <w:lang w:val="en-US" w:eastAsia="zh-CN"/>
        </w:rPr>
        <w:t>柴油加油机、1台92#乙醇汽油/95#汽油加油机、1台92#乙醇汽油加油机，</w:t>
      </w:r>
      <w:r>
        <w:rPr>
          <w:rFonts w:hint="eastAsia" w:ascii="宋体" w:hAnsi="宋体"/>
          <w:color w:val="auto"/>
          <w:kern w:val="2"/>
          <w:szCs w:val="21"/>
          <w:highlight w:val="none"/>
        </w:rPr>
        <w:t>均为</w:t>
      </w:r>
      <w:r>
        <w:rPr>
          <w:rFonts w:hint="eastAsia" w:ascii="宋体" w:hAnsi="宋体"/>
          <w:color w:val="auto"/>
          <w:kern w:val="2"/>
          <w:szCs w:val="21"/>
          <w:highlight w:val="none"/>
          <w:lang w:val="en-US" w:eastAsia="zh-CN"/>
        </w:rPr>
        <w:t>自吸</w:t>
      </w:r>
      <w:r>
        <w:rPr>
          <w:rFonts w:hint="eastAsia" w:ascii="宋体" w:hAnsi="宋体"/>
          <w:color w:val="auto"/>
          <w:kern w:val="2"/>
          <w:szCs w:val="21"/>
          <w:highlight w:val="none"/>
        </w:rPr>
        <w:t>式</w:t>
      </w:r>
      <w:r>
        <w:rPr>
          <w:rFonts w:hint="eastAsia" w:ascii="宋体"/>
          <w:color w:val="auto"/>
          <w:highlight w:val="none"/>
        </w:rPr>
        <w:t>；</w:t>
      </w:r>
      <w:r>
        <w:rPr>
          <w:rFonts w:hint="eastAsia" w:ascii="宋体" w:hAnsi="宋体"/>
          <w:color w:val="auto"/>
          <w:szCs w:val="28"/>
          <w:highlight w:val="none"/>
        </w:rPr>
        <w:t>油罐区位于</w:t>
      </w:r>
      <w:r>
        <w:rPr>
          <w:rFonts w:hint="eastAsia" w:ascii="宋体" w:hAnsi="宋体"/>
          <w:color w:val="auto"/>
          <w:szCs w:val="28"/>
          <w:highlight w:val="none"/>
          <w:lang w:val="en-US" w:eastAsia="zh-CN"/>
        </w:rPr>
        <w:t>站房南侧非车行道下方</w:t>
      </w:r>
      <w:r>
        <w:rPr>
          <w:rFonts w:hint="eastAsia" w:ascii="宋体" w:hAnsi="宋体"/>
          <w:color w:val="auto"/>
          <w:szCs w:val="28"/>
          <w:highlight w:val="none"/>
        </w:rPr>
        <w:t>，</w:t>
      </w:r>
      <w:r>
        <w:rPr>
          <w:rFonts w:hint="eastAsia" w:ascii="宋体"/>
          <w:color w:val="auto"/>
          <w:highlight w:val="none"/>
        </w:rPr>
        <w:t>现有</w:t>
      </w:r>
      <w:r>
        <w:rPr>
          <w:rFonts w:hint="eastAsia" w:ascii="宋体"/>
          <w:color w:val="auto"/>
          <w:highlight w:val="none"/>
          <w:lang w:val="en-US" w:eastAsia="zh-CN"/>
        </w:rPr>
        <w:t>4</w:t>
      </w:r>
      <w:r>
        <w:rPr>
          <w:rFonts w:hint="eastAsia" w:ascii="宋体"/>
          <w:color w:val="auto"/>
          <w:highlight w:val="none"/>
        </w:rPr>
        <w:t>台</w:t>
      </w:r>
      <w:r>
        <w:rPr>
          <w:rFonts w:hint="eastAsia" w:ascii="宋体"/>
          <w:color w:val="auto"/>
          <w:highlight w:val="none"/>
          <w:lang w:val="en-US" w:eastAsia="zh-CN"/>
        </w:rPr>
        <w:t>3</w:t>
      </w:r>
      <w:r>
        <w:rPr>
          <w:rFonts w:hint="eastAsia" w:ascii="宋体"/>
          <w:color w:val="auto"/>
          <w:highlight w:val="none"/>
        </w:rPr>
        <w:t>0m³埋地双层储罐</w:t>
      </w:r>
      <w:r>
        <w:rPr>
          <w:rFonts w:hint="eastAsia" w:ascii="宋体"/>
          <w:color w:val="auto"/>
          <w:highlight w:val="none"/>
          <w:lang w:eastAsia="zh-CN"/>
        </w:rPr>
        <w:t>：</w:t>
      </w:r>
      <w:r>
        <w:rPr>
          <w:rFonts w:hint="eastAsia" w:ascii="宋体"/>
          <w:color w:val="auto"/>
          <w:highlight w:val="none"/>
        </w:rPr>
        <w:t>1台92#</w:t>
      </w:r>
      <w:r>
        <w:rPr>
          <w:rFonts w:hint="eastAsia" w:ascii="宋体"/>
          <w:color w:val="auto"/>
          <w:highlight w:val="none"/>
          <w:lang w:val="en-US" w:eastAsia="zh-CN"/>
        </w:rPr>
        <w:t>乙醇</w:t>
      </w:r>
      <w:r>
        <w:rPr>
          <w:rFonts w:hint="eastAsia" w:ascii="宋体"/>
          <w:color w:val="auto"/>
          <w:highlight w:val="none"/>
          <w:lang w:eastAsia="zh-CN"/>
        </w:rPr>
        <w:t>汽油</w:t>
      </w:r>
      <w:r>
        <w:rPr>
          <w:rFonts w:hint="eastAsia" w:ascii="宋体"/>
          <w:color w:val="auto"/>
          <w:highlight w:val="none"/>
        </w:rPr>
        <w:t>罐、</w:t>
      </w:r>
      <w:r>
        <w:rPr>
          <w:rFonts w:hint="eastAsia" w:ascii="宋体"/>
          <w:color w:val="auto"/>
          <w:highlight w:val="none"/>
          <w:lang w:val="en-US" w:eastAsia="zh-CN"/>
        </w:rPr>
        <w:t>1</w:t>
      </w:r>
      <w:r>
        <w:rPr>
          <w:rFonts w:hint="eastAsia" w:ascii="宋体"/>
          <w:color w:val="auto"/>
          <w:highlight w:val="none"/>
        </w:rPr>
        <w:t>台95#</w:t>
      </w:r>
      <w:r>
        <w:rPr>
          <w:rFonts w:hint="eastAsia" w:ascii="宋体"/>
          <w:color w:val="auto"/>
          <w:highlight w:val="none"/>
          <w:lang w:eastAsia="zh-CN"/>
        </w:rPr>
        <w:t>汽油</w:t>
      </w:r>
      <w:r>
        <w:rPr>
          <w:rFonts w:hint="eastAsia" w:ascii="宋体"/>
          <w:color w:val="auto"/>
          <w:highlight w:val="none"/>
          <w:lang w:val="en-US" w:eastAsia="zh-CN"/>
        </w:rPr>
        <w:t>罐、2</w:t>
      </w:r>
      <w:r>
        <w:rPr>
          <w:rFonts w:hint="eastAsia" w:ascii="宋体"/>
          <w:color w:val="auto"/>
          <w:highlight w:val="none"/>
        </w:rPr>
        <w:t>台柴油罐，</w:t>
      </w:r>
      <w:r>
        <w:rPr>
          <w:rFonts w:hint="eastAsia" w:ascii="宋体" w:hAnsi="宋体"/>
          <w:color w:val="auto"/>
          <w:szCs w:val="28"/>
          <w:highlight w:val="none"/>
          <w:lang w:val="en-US" w:eastAsia="zh-CN"/>
        </w:rPr>
        <w:t>4</w:t>
      </w:r>
      <w:r>
        <w:rPr>
          <w:rFonts w:hint="eastAsia" w:ascii="宋体" w:hAnsi="宋体"/>
          <w:color w:val="auto"/>
          <w:szCs w:val="28"/>
          <w:highlight w:val="none"/>
        </w:rPr>
        <w:t>台油罐均安装了液位仪、检漏仪</w:t>
      </w:r>
      <w:r>
        <w:rPr>
          <w:rFonts w:hint="eastAsia" w:ascii="宋体"/>
          <w:color w:val="auto"/>
          <w:highlight w:val="none"/>
        </w:rPr>
        <w:t>；</w:t>
      </w:r>
      <w:r>
        <w:rPr>
          <w:rFonts w:hint="eastAsia" w:ascii="宋体"/>
          <w:color w:val="auto"/>
          <w:highlight w:val="none"/>
          <w:lang w:eastAsia="zh-CN"/>
        </w:rPr>
        <w:t>汽油、</w:t>
      </w:r>
      <w:r>
        <w:rPr>
          <w:rFonts w:hint="eastAsia" w:ascii="宋体"/>
          <w:color w:val="auto"/>
          <w:highlight w:val="none"/>
        </w:rPr>
        <w:t>柴油卸油口位于罐区</w:t>
      </w:r>
      <w:r>
        <w:rPr>
          <w:rFonts w:hint="eastAsia" w:ascii="宋体"/>
          <w:color w:val="auto"/>
          <w:highlight w:val="none"/>
          <w:lang w:val="en-US" w:eastAsia="zh-CN"/>
        </w:rPr>
        <w:t>西</w:t>
      </w:r>
      <w:r>
        <w:rPr>
          <w:rFonts w:hint="eastAsia" w:ascii="宋体"/>
          <w:color w:val="auto"/>
          <w:highlight w:val="none"/>
        </w:rPr>
        <w:t>侧；</w:t>
      </w:r>
      <w:r>
        <w:rPr>
          <w:rFonts w:hint="eastAsia" w:ascii="宋体" w:hAnsi="宋体"/>
          <w:color w:val="auto"/>
          <w:szCs w:val="28"/>
          <w:highlight w:val="none"/>
        </w:rPr>
        <w:t>通气管</w:t>
      </w:r>
      <w:r>
        <w:rPr>
          <w:rFonts w:hint="eastAsia" w:ascii="宋体" w:hAnsi="宋体"/>
          <w:color w:val="auto"/>
          <w:szCs w:val="28"/>
          <w:highlight w:val="none"/>
          <w:lang w:val="en-US" w:eastAsia="zh-CN"/>
        </w:rPr>
        <w:t>5</w:t>
      </w:r>
      <w:r>
        <w:rPr>
          <w:rFonts w:hint="eastAsia" w:ascii="宋体" w:hAnsi="宋体"/>
          <w:color w:val="auto"/>
          <w:szCs w:val="28"/>
          <w:highlight w:val="none"/>
        </w:rPr>
        <w:t>根</w:t>
      </w:r>
      <w:r>
        <w:rPr>
          <w:rFonts w:hint="eastAsia" w:ascii="宋体" w:hAnsi="宋体"/>
          <w:color w:val="auto"/>
          <w:szCs w:val="28"/>
          <w:highlight w:val="none"/>
          <w:lang w:val="en-US" w:eastAsia="zh-CN"/>
        </w:rPr>
        <w:t>位于罐区东侧</w:t>
      </w:r>
      <w:r>
        <w:rPr>
          <w:rFonts w:hint="eastAsia" w:ascii="宋体" w:hAnsi="宋体"/>
          <w:color w:val="auto"/>
          <w:szCs w:val="28"/>
          <w:highlight w:val="none"/>
        </w:rPr>
        <w:t>，该站设有卸油油气回收系统、加油油气回收系统</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油气回收处理系统</w:t>
      </w:r>
      <w:r>
        <w:rPr>
          <w:rFonts w:hint="eastAsia" w:ascii="宋体" w:hAnsi="宋体"/>
          <w:color w:val="auto"/>
          <w:szCs w:val="28"/>
          <w:highlight w:val="none"/>
        </w:rPr>
        <w:t>；</w:t>
      </w:r>
      <w:r>
        <w:rPr>
          <w:rFonts w:hint="eastAsia" w:ascii="宋体"/>
          <w:color w:val="auto"/>
          <w:highlight w:val="none"/>
        </w:rPr>
        <w:t>按《汽车加油加气加氢站技术标准》GB50156-2021标准规定：油罐总储量为</w:t>
      </w:r>
      <w:r>
        <w:rPr>
          <w:rFonts w:hint="eastAsia" w:ascii="宋体"/>
          <w:color w:val="auto"/>
          <w:highlight w:val="none"/>
          <w:lang w:val="en-US" w:eastAsia="zh-CN"/>
        </w:rPr>
        <w:t>120</w:t>
      </w:r>
      <w:r>
        <w:rPr>
          <w:rFonts w:hint="eastAsia" w:ascii="宋体"/>
          <w:color w:val="auto"/>
          <w:highlight w:val="none"/>
        </w:rPr>
        <w:t>m³，柴油储罐容积折半计入总容积为</w:t>
      </w:r>
      <w:r>
        <w:rPr>
          <w:rFonts w:hint="eastAsia" w:ascii="宋体"/>
          <w:color w:val="auto"/>
          <w:highlight w:val="none"/>
          <w:lang w:val="en-US" w:eastAsia="zh-CN"/>
        </w:rPr>
        <w:t>90</w:t>
      </w:r>
      <w:r>
        <w:rPr>
          <w:rFonts w:hint="eastAsia" w:ascii="宋体"/>
          <w:color w:val="auto"/>
          <w:highlight w:val="none"/>
        </w:rPr>
        <w:t>m³，该站属</w:t>
      </w:r>
      <w:r>
        <w:rPr>
          <w:rFonts w:hint="eastAsia" w:ascii="宋体"/>
          <w:color w:val="auto"/>
          <w:highlight w:val="none"/>
          <w:lang w:val="en-US" w:eastAsia="zh-CN"/>
        </w:rPr>
        <w:t>三</w:t>
      </w:r>
      <w:r>
        <w:rPr>
          <w:rFonts w:hint="eastAsia" w:ascii="宋体"/>
          <w:color w:val="auto"/>
          <w:highlight w:val="none"/>
        </w:rPr>
        <w:t>级加油站。</w:t>
      </w:r>
    </w:p>
    <w:p w14:paraId="6B8D41BA">
      <w:pPr>
        <w:pStyle w:val="19"/>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1"/>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2</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lang w:val="en-US" w:eastAsia="zh-CN"/>
        </w:rPr>
        <w:t>中国石油天然气股份有限公司山东泰安销售分公司</w:t>
      </w:r>
      <w:r>
        <w:rPr>
          <w:rFonts w:hint="eastAsia" w:ascii="宋体" w:hAnsi="宋体" w:eastAsia="宋体" w:cs="宋体"/>
          <w:color w:val="auto"/>
          <w:sz w:val="28"/>
          <w:highlight w:val="none"/>
        </w:rPr>
        <w:t>于</w:t>
      </w:r>
      <w:r>
        <w:rPr>
          <w:rFonts w:hint="eastAsia" w:ascii="宋体" w:hAnsi="宋体" w:eastAsia="宋体" w:cs="宋体"/>
          <w:color w:val="auto"/>
          <w:sz w:val="28"/>
          <w:highlight w:val="none"/>
          <w:lang w:val="en-US" w:eastAsia="zh-CN"/>
        </w:rPr>
        <w:t>200</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rPr>
        <w:t>年</w:t>
      </w:r>
      <w:r>
        <w:rPr>
          <w:rFonts w:hint="eastAsia" w:ascii="宋体" w:hAnsi="宋体" w:cs="宋体"/>
          <w:color w:val="auto"/>
          <w:sz w:val="28"/>
          <w:highlight w:val="none"/>
          <w:lang w:val="en-US" w:eastAsia="zh-CN"/>
        </w:rPr>
        <w:t>6</w:t>
      </w:r>
      <w:r>
        <w:rPr>
          <w:rFonts w:hint="eastAsia" w:ascii="宋体" w:hAnsi="宋体" w:eastAsia="宋体" w:cs="宋体"/>
          <w:color w:val="auto"/>
          <w:sz w:val="28"/>
          <w:highlight w:val="none"/>
          <w:lang w:val="en-US" w:eastAsia="zh-CN"/>
        </w:rPr>
        <w:t>月</w:t>
      </w:r>
      <w:r>
        <w:rPr>
          <w:rFonts w:hint="eastAsia" w:ascii="宋体" w:hAnsi="宋体" w:cs="宋体"/>
          <w:color w:val="auto"/>
          <w:sz w:val="28"/>
          <w:highlight w:val="none"/>
          <w:lang w:val="en-US" w:eastAsia="zh-CN"/>
        </w:rPr>
        <w:t>9</w:t>
      </w:r>
      <w:r>
        <w:rPr>
          <w:rFonts w:hint="eastAsia" w:ascii="宋体" w:hAnsi="宋体" w:eastAsia="宋体" w:cs="宋体"/>
          <w:color w:val="auto"/>
          <w:sz w:val="28"/>
          <w:highlight w:val="none"/>
          <w:lang w:val="en-US" w:eastAsia="zh-CN"/>
        </w:rPr>
        <w:t>日</w:t>
      </w:r>
      <w:r>
        <w:rPr>
          <w:rFonts w:hint="eastAsia" w:ascii="宋体" w:hAnsi="宋体" w:cs="宋体"/>
          <w:color w:val="auto"/>
          <w:sz w:val="28"/>
          <w:highlight w:val="none"/>
          <w:lang w:val="en-US" w:eastAsia="zh-CN"/>
        </w:rPr>
        <w:t>取得</w:t>
      </w:r>
      <w:r>
        <w:rPr>
          <w:rFonts w:hint="eastAsia" w:ascii="宋体" w:hAnsi="宋体" w:eastAsia="宋体" w:cs="宋体"/>
          <w:color w:val="auto"/>
          <w:sz w:val="28"/>
          <w:highlight w:val="none"/>
          <w:lang w:val="en-US" w:eastAsia="zh-CN"/>
        </w:rPr>
        <w:t>了</w:t>
      </w:r>
      <w:r>
        <w:rPr>
          <w:rFonts w:hint="eastAsia" w:ascii="宋体" w:hAnsi="宋体" w:cs="宋体"/>
          <w:color w:val="auto"/>
          <w:sz w:val="28"/>
          <w:highlight w:val="none"/>
          <w:lang w:val="en-US" w:eastAsia="zh-CN"/>
        </w:rPr>
        <w:t>泰安市岱岳区人民政府签发的</w:t>
      </w:r>
      <w:r>
        <w:rPr>
          <w:rFonts w:hint="eastAsia" w:ascii="宋体" w:hAnsi="宋体" w:eastAsia="宋体" w:cs="宋体"/>
          <w:color w:val="auto"/>
          <w:sz w:val="28"/>
          <w:highlight w:val="none"/>
        </w:rPr>
        <w:t>《</w:t>
      </w:r>
      <w:r>
        <w:rPr>
          <w:rFonts w:hint="eastAsia" w:ascii="宋体" w:hAnsi="宋体" w:cs="宋体"/>
          <w:color w:val="auto"/>
          <w:sz w:val="28"/>
          <w:highlight w:val="none"/>
          <w:lang w:val="en-US" w:eastAsia="zh-CN"/>
        </w:rPr>
        <w:t>国有土地使用证</w:t>
      </w:r>
      <w:r>
        <w:rPr>
          <w:rFonts w:hint="eastAsia" w:ascii="宋体" w:hAnsi="宋体" w:eastAsia="宋体" w:cs="宋体"/>
          <w:color w:val="auto"/>
          <w:sz w:val="28"/>
          <w:highlight w:val="none"/>
        </w:rPr>
        <w:t>》，</w:t>
      </w:r>
      <w:r>
        <w:rPr>
          <w:rFonts w:hint="eastAsia" w:ascii="宋体" w:hAnsi="宋体" w:cs="宋体"/>
          <w:color w:val="auto"/>
          <w:sz w:val="28"/>
          <w:highlight w:val="none"/>
          <w:lang w:val="en-US" w:eastAsia="zh-CN"/>
        </w:rPr>
        <w:t>证书编号：岱岳国用（2004）第130号</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详见附件。</w:t>
      </w:r>
    </w:p>
    <w:p w14:paraId="7DD09B22">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highlight w:val="none"/>
          <w:lang w:val="en-US" w:eastAsia="zh-CN" w:bidi="ar-SA"/>
        </w:rPr>
      </w:pPr>
      <w:r>
        <w:rPr>
          <w:rFonts w:hint="eastAsia" w:ascii="宋体" w:hAnsi="Times New Roman" w:eastAsia="宋体" w:cs="Times New Roman"/>
          <w:color w:val="auto"/>
          <w:sz w:val="28"/>
          <w:szCs w:val="20"/>
          <w:highlight w:val="none"/>
          <w:lang w:val="en-US" w:eastAsia="zh-CN" w:bidi="ar-SA"/>
        </w:rPr>
        <w:t>加油站于20</w:t>
      </w:r>
      <w:r>
        <w:rPr>
          <w:rFonts w:hint="eastAsia" w:ascii="宋体" w:cs="Times New Roman"/>
          <w:color w:val="auto"/>
          <w:sz w:val="28"/>
          <w:szCs w:val="20"/>
          <w:highlight w:val="none"/>
          <w:lang w:val="en-US" w:eastAsia="zh-CN" w:bidi="ar-SA"/>
        </w:rPr>
        <w:t>04</w:t>
      </w:r>
      <w:r>
        <w:rPr>
          <w:rFonts w:hint="eastAsia" w:ascii="宋体" w:hAnsi="Times New Roman" w:eastAsia="宋体" w:cs="Times New Roman"/>
          <w:color w:val="auto"/>
          <w:sz w:val="28"/>
          <w:szCs w:val="20"/>
          <w:highlight w:val="none"/>
          <w:lang w:val="en-US" w:eastAsia="zh-CN" w:bidi="ar-SA"/>
        </w:rPr>
        <w:t>年</w:t>
      </w:r>
      <w:r>
        <w:rPr>
          <w:rFonts w:hint="eastAsia" w:ascii="宋体" w:cs="Times New Roman"/>
          <w:color w:val="auto"/>
          <w:sz w:val="28"/>
          <w:szCs w:val="20"/>
          <w:highlight w:val="none"/>
          <w:lang w:val="en-US" w:eastAsia="zh-CN" w:bidi="ar-SA"/>
        </w:rPr>
        <w:t>12</w:t>
      </w:r>
      <w:r>
        <w:rPr>
          <w:rFonts w:hint="eastAsia" w:ascii="宋体" w:hAnsi="Times New Roman" w:eastAsia="宋体" w:cs="Times New Roman"/>
          <w:color w:val="auto"/>
          <w:sz w:val="28"/>
          <w:szCs w:val="20"/>
          <w:highlight w:val="none"/>
          <w:lang w:val="en-US" w:eastAsia="zh-CN" w:bidi="ar-SA"/>
        </w:rPr>
        <w:t>月</w:t>
      </w:r>
      <w:r>
        <w:rPr>
          <w:rFonts w:hint="eastAsia" w:ascii="宋体" w:cs="Times New Roman"/>
          <w:color w:val="auto"/>
          <w:sz w:val="28"/>
          <w:szCs w:val="20"/>
          <w:highlight w:val="none"/>
          <w:lang w:val="en-US" w:eastAsia="zh-CN" w:bidi="ar-SA"/>
        </w:rPr>
        <w:t>20</w:t>
      </w:r>
      <w:r>
        <w:rPr>
          <w:rFonts w:hint="eastAsia" w:ascii="宋体" w:hAnsi="Times New Roman" w:eastAsia="宋体" w:cs="Times New Roman"/>
          <w:color w:val="auto"/>
          <w:sz w:val="28"/>
          <w:szCs w:val="20"/>
          <w:highlight w:val="none"/>
          <w:lang w:val="en-US" w:eastAsia="zh-CN" w:bidi="ar-SA"/>
        </w:rPr>
        <w:t>日取得了</w:t>
      </w:r>
      <w:r>
        <w:rPr>
          <w:rFonts w:hint="eastAsia" w:ascii="宋体" w:cs="Times New Roman"/>
          <w:color w:val="auto"/>
          <w:sz w:val="28"/>
          <w:szCs w:val="20"/>
          <w:highlight w:val="none"/>
          <w:lang w:val="en-US" w:eastAsia="zh-CN" w:bidi="ar-SA"/>
        </w:rPr>
        <w:t>泰安市岱岳区公安消防大队出具的</w:t>
      </w:r>
      <w:r>
        <w:rPr>
          <w:rFonts w:hint="eastAsia" w:ascii="宋体"/>
          <w:color w:val="auto"/>
          <w:highlight w:val="none"/>
        </w:rPr>
        <w:t>《</w:t>
      </w:r>
      <w:r>
        <w:rPr>
          <w:rFonts w:hint="eastAsia" w:ascii="宋体"/>
          <w:color w:val="auto"/>
          <w:highlight w:val="none"/>
          <w:lang w:val="en-US" w:eastAsia="zh-CN"/>
        </w:rPr>
        <w:t>建筑工程竣工消防验收设计意见书</w:t>
      </w:r>
      <w:r>
        <w:rPr>
          <w:rFonts w:hint="eastAsia" w:ascii="宋体"/>
          <w:color w:val="auto"/>
          <w:highlight w:val="none"/>
        </w:rPr>
        <w:t>》</w:t>
      </w:r>
      <w:r>
        <w:rPr>
          <w:rFonts w:hint="eastAsia" w:ascii="宋体" w:cs="Times New Roman"/>
          <w:color w:val="auto"/>
          <w:sz w:val="28"/>
          <w:szCs w:val="20"/>
          <w:highlight w:val="none"/>
          <w:lang w:val="en-US" w:eastAsia="zh-CN" w:bidi="ar-SA"/>
        </w:rPr>
        <w:t>意见书</w:t>
      </w:r>
      <w:r>
        <w:rPr>
          <w:rFonts w:hint="eastAsia" w:ascii="宋体" w:hAnsi="Times New Roman" w:eastAsia="宋体" w:cs="Times New Roman"/>
          <w:color w:val="auto"/>
          <w:sz w:val="28"/>
          <w:szCs w:val="20"/>
          <w:highlight w:val="none"/>
          <w:lang w:val="en-US" w:eastAsia="zh-CN" w:bidi="ar-SA"/>
        </w:rPr>
        <w:t>编号：</w:t>
      </w:r>
      <w:r>
        <w:rPr>
          <w:rFonts w:hint="eastAsia" w:ascii="宋体" w:cs="Times New Roman"/>
          <w:color w:val="auto"/>
          <w:sz w:val="28"/>
          <w:szCs w:val="20"/>
          <w:highlight w:val="none"/>
          <w:lang w:val="en-US" w:eastAsia="zh-CN" w:bidi="ar-SA"/>
        </w:rPr>
        <w:t>泰岱</w:t>
      </w:r>
      <w:r>
        <w:rPr>
          <w:rFonts w:hint="eastAsia" w:ascii="宋体" w:hAnsi="Times New Roman" w:eastAsia="宋体" w:cs="Times New Roman"/>
          <w:color w:val="auto"/>
          <w:sz w:val="28"/>
          <w:szCs w:val="20"/>
          <w:highlight w:val="none"/>
          <w:lang w:val="en-US" w:eastAsia="zh-CN" w:bidi="ar-SA"/>
        </w:rPr>
        <w:t>公消</w:t>
      </w:r>
      <w:r>
        <w:rPr>
          <w:rFonts w:hint="eastAsia" w:ascii="宋体" w:cs="Times New Roman"/>
          <w:color w:val="auto"/>
          <w:sz w:val="28"/>
          <w:szCs w:val="20"/>
          <w:highlight w:val="none"/>
          <w:lang w:val="en-US" w:eastAsia="zh-CN" w:bidi="ar-SA"/>
        </w:rPr>
        <w:t>验字第</w:t>
      </w:r>
      <w:r>
        <w:rPr>
          <w:rFonts w:hint="eastAsia" w:ascii="宋体"/>
          <w:color w:val="auto"/>
          <w:highlight w:val="none"/>
        </w:rPr>
        <w:t>[20</w:t>
      </w:r>
      <w:r>
        <w:rPr>
          <w:rFonts w:hint="eastAsia" w:ascii="宋体"/>
          <w:color w:val="auto"/>
          <w:highlight w:val="none"/>
          <w:lang w:val="en-US" w:eastAsia="zh-CN"/>
        </w:rPr>
        <w:t>04</w:t>
      </w:r>
      <w:r>
        <w:rPr>
          <w:rFonts w:hint="eastAsia" w:ascii="宋体"/>
          <w:color w:val="auto"/>
          <w:highlight w:val="none"/>
        </w:rPr>
        <w:t>]</w:t>
      </w:r>
      <w:r>
        <w:rPr>
          <w:rFonts w:hint="eastAsia" w:ascii="宋体" w:cs="Times New Roman"/>
          <w:color w:val="auto"/>
          <w:sz w:val="28"/>
          <w:szCs w:val="20"/>
          <w:highlight w:val="none"/>
          <w:lang w:val="en-US" w:eastAsia="zh-CN" w:bidi="ar-SA"/>
        </w:rPr>
        <w:t>029</w:t>
      </w:r>
      <w:r>
        <w:rPr>
          <w:rFonts w:hint="eastAsia" w:ascii="宋体" w:hAnsi="Times New Roman" w:eastAsia="宋体" w:cs="Times New Roman"/>
          <w:color w:val="auto"/>
          <w:sz w:val="28"/>
          <w:szCs w:val="20"/>
          <w:highlight w:val="none"/>
          <w:lang w:val="en-US" w:eastAsia="zh-CN" w:bidi="ar-SA"/>
        </w:rPr>
        <w:t>号，</w:t>
      </w:r>
      <w:r>
        <w:rPr>
          <w:rFonts w:hint="eastAsia" w:ascii="宋体" w:cs="Times New Roman"/>
          <w:color w:val="auto"/>
          <w:sz w:val="28"/>
          <w:szCs w:val="20"/>
          <w:highlight w:val="none"/>
          <w:lang w:val="en-US" w:eastAsia="zh-CN" w:bidi="ar-SA"/>
        </w:rPr>
        <w:t>意见书结论为认为合格，准许投入使用，</w:t>
      </w:r>
      <w:r>
        <w:rPr>
          <w:rFonts w:hint="eastAsia" w:ascii="宋体" w:hAnsi="Times New Roman" w:eastAsia="宋体" w:cs="Times New Roman"/>
          <w:color w:val="auto"/>
          <w:sz w:val="28"/>
          <w:szCs w:val="20"/>
          <w:highlight w:val="none"/>
          <w:lang w:val="en-US" w:eastAsia="zh-CN" w:bidi="ar-SA"/>
        </w:rPr>
        <w:t>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highlight w:val="none"/>
        </w:rPr>
      </w:pPr>
      <w:r>
        <w:rPr>
          <w:rFonts w:hint="eastAsia" w:ascii="宋体"/>
          <w:color w:val="auto"/>
          <w:highlight w:val="none"/>
        </w:rPr>
        <w:t>加油站</w:t>
      </w:r>
      <w:r>
        <w:rPr>
          <w:rFonts w:hint="eastAsia" w:ascii="宋体"/>
          <w:color w:val="auto"/>
          <w:highlight w:val="none"/>
          <w:lang w:eastAsia="zh-CN"/>
        </w:rPr>
        <w:t>（</w:t>
      </w:r>
      <w:r>
        <w:rPr>
          <w:rFonts w:hint="eastAsia" w:ascii="宋体"/>
          <w:color w:val="auto"/>
          <w:highlight w:val="none"/>
          <w:lang w:val="en-US" w:eastAsia="zh-CN"/>
        </w:rPr>
        <w:t>原名泰安东海石油化工有限公司范镇高速口加油站</w:t>
      </w:r>
      <w:r>
        <w:rPr>
          <w:rFonts w:hint="eastAsia" w:ascii="宋体"/>
          <w:color w:val="auto"/>
          <w:highlight w:val="none"/>
          <w:lang w:eastAsia="zh-CN"/>
        </w:rPr>
        <w:t>）</w:t>
      </w:r>
      <w:r>
        <w:rPr>
          <w:rFonts w:hint="eastAsia" w:ascii="宋体"/>
          <w:color w:val="auto"/>
          <w:highlight w:val="none"/>
        </w:rPr>
        <w:t>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0</w:t>
      </w:r>
      <w:r>
        <w:rPr>
          <w:rFonts w:ascii="宋体"/>
          <w:color w:val="auto"/>
          <w:highlight w:val="none"/>
        </w:rPr>
        <w:t>年</w:t>
      </w:r>
      <w:r>
        <w:rPr>
          <w:rFonts w:hint="eastAsia" w:ascii="宋体"/>
          <w:color w:val="auto"/>
          <w:highlight w:val="none"/>
          <w:lang w:val="en-US" w:eastAsia="zh-CN"/>
        </w:rPr>
        <w:t>09</w:t>
      </w:r>
      <w:r>
        <w:rPr>
          <w:rFonts w:ascii="宋体"/>
          <w:color w:val="auto"/>
          <w:highlight w:val="none"/>
        </w:rPr>
        <w:t>月</w:t>
      </w:r>
      <w:r>
        <w:rPr>
          <w:rFonts w:hint="eastAsia" w:ascii="宋体"/>
          <w:color w:val="auto"/>
          <w:highlight w:val="none"/>
          <w:lang w:val="en-US" w:eastAsia="zh-CN"/>
        </w:rPr>
        <w:t>15</w:t>
      </w:r>
      <w:r>
        <w:rPr>
          <w:rFonts w:ascii="宋体"/>
          <w:color w:val="auto"/>
          <w:highlight w:val="none"/>
        </w:rPr>
        <w:t>日</w:t>
      </w:r>
      <w:r>
        <w:rPr>
          <w:rFonts w:hint="eastAsia" w:ascii="宋体"/>
          <w:color w:val="auto"/>
          <w:highlight w:val="none"/>
        </w:rPr>
        <w:t>换发了</w:t>
      </w:r>
      <w:r>
        <w:rPr>
          <w:rFonts w:ascii="宋体"/>
          <w:color w:val="auto"/>
          <w:highlight w:val="none"/>
        </w:rPr>
        <w:t>《成品油零售经营批准证书》，证书编号：</w:t>
      </w:r>
      <w:r>
        <w:rPr>
          <w:rFonts w:hint="eastAsia" w:ascii="宋体"/>
          <w:color w:val="auto"/>
          <w:highlight w:val="none"/>
        </w:rPr>
        <w:t>鲁油零售证书第37090</w:t>
      </w:r>
      <w:r>
        <w:rPr>
          <w:rFonts w:hint="eastAsia" w:ascii="宋体"/>
          <w:color w:val="auto"/>
          <w:highlight w:val="none"/>
          <w:lang w:val="en-US" w:eastAsia="zh-CN"/>
        </w:rPr>
        <w:t>32009</w:t>
      </w:r>
      <w:r>
        <w:rPr>
          <w:rFonts w:ascii="宋体"/>
          <w:color w:val="auto"/>
          <w:highlight w:val="none"/>
        </w:rPr>
        <w:t>号</w:t>
      </w:r>
      <w:r>
        <w:rPr>
          <w:rFonts w:hint="eastAsia" w:ascii="宋体"/>
          <w:color w:val="auto"/>
          <w:highlight w:val="none"/>
        </w:rPr>
        <w:t>，证书有效期至202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09</w:t>
      </w:r>
      <w:r>
        <w:rPr>
          <w:rFonts w:hint="eastAsia" w:ascii="宋体"/>
          <w:color w:val="auto"/>
          <w:highlight w:val="none"/>
        </w:rPr>
        <w:t>月</w:t>
      </w:r>
      <w:r>
        <w:rPr>
          <w:rFonts w:hint="eastAsia" w:ascii="宋体"/>
          <w:color w:val="auto"/>
          <w:highlight w:val="none"/>
          <w:lang w:val="en-US" w:eastAsia="zh-CN"/>
        </w:rPr>
        <w:t>15</w:t>
      </w:r>
      <w:r>
        <w:rPr>
          <w:rFonts w:hint="eastAsia" w:ascii="宋体"/>
          <w:color w:val="auto"/>
          <w:highlight w:val="none"/>
        </w:rPr>
        <w:t>日，证书见附件</w:t>
      </w:r>
      <w:r>
        <w:rPr>
          <w:rFonts w:ascii="宋体"/>
          <w:color w:val="auto"/>
          <w:highlight w:val="none"/>
        </w:rPr>
        <w:t>。</w:t>
      </w:r>
    </w:p>
    <w:p w14:paraId="1E0E0520">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2</w:t>
      </w:r>
      <w:r>
        <w:rPr>
          <w:rFonts w:hint="eastAsia" w:ascii="宋体"/>
          <w:color w:val="auto"/>
          <w:highlight w:val="none"/>
        </w:rPr>
        <w:t>年</w:t>
      </w:r>
      <w:r>
        <w:rPr>
          <w:rFonts w:hint="eastAsia" w:ascii="宋体"/>
          <w:color w:val="auto"/>
          <w:highlight w:val="none"/>
          <w:lang w:val="en-US" w:eastAsia="zh-CN"/>
        </w:rPr>
        <w:t>12</w:t>
      </w:r>
      <w:r>
        <w:rPr>
          <w:rFonts w:hint="eastAsia" w:ascii="宋体"/>
          <w:color w:val="auto"/>
          <w:highlight w:val="none"/>
        </w:rPr>
        <w:t>月</w:t>
      </w:r>
      <w:r>
        <w:rPr>
          <w:rFonts w:hint="eastAsia" w:ascii="宋体"/>
          <w:color w:val="auto"/>
          <w:highlight w:val="none"/>
          <w:lang w:val="en-US" w:eastAsia="zh-CN"/>
        </w:rPr>
        <w:t>29</w:t>
      </w:r>
      <w:r>
        <w:rPr>
          <w:rFonts w:hint="eastAsia" w:ascii="宋体"/>
          <w:color w:val="auto"/>
          <w:highlight w:val="none"/>
        </w:rPr>
        <w:t>日换发了《危险化学品经营许可证》，证书编号：鲁泰危化经[20</w:t>
      </w:r>
      <w:r>
        <w:rPr>
          <w:rFonts w:hint="eastAsia" w:ascii="宋体"/>
          <w:color w:val="auto"/>
          <w:highlight w:val="none"/>
          <w:lang w:val="en-US" w:eastAsia="zh-CN"/>
        </w:rPr>
        <w:t>22</w:t>
      </w:r>
      <w:r>
        <w:rPr>
          <w:rFonts w:hint="eastAsia" w:ascii="宋体"/>
          <w:color w:val="auto"/>
          <w:highlight w:val="none"/>
        </w:rPr>
        <w:t>]000</w:t>
      </w:r>
      <w:r>
        <w:rPr>
          <w:rFonts w:hint="eastAsia" w:ascii="宋体"/>
          <w:color w:val="auto"/>
          <w:highlight w:val="none"/>
          <w:lang w:val="en-US" w:eastAsia="zh-CN"/>
        </w:rPr>
        <w:t>397</w:t>
      </w:r>
      <w:r>
        <w:rPr>
          <w:rFonts w:hint="eastAsia" w:ascii="宋体"/>
          <w:color w:val="auto"/>
          <w:highlight w:val="none"/>
        </w:rPr>
        <w:t>号，证书有效期至202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12</w:t>
      </w:r>
      <w:r>
        <w:rPr>
          <w:rFonts w:hint="eastAsia" w:ascii="宋体"/>
          <w:color w:val="auto"/>
          <w:highlight w:val="none"/>
        </w:rPr>
        <w:t>月</w:t>
      </w:r>
      <w:r>
        <w:rPr>
          <w:rFonts w:hint="eastAsia" w:ascii="宋体"/>
          <w:color w:val="auto"/>
          <w:highlight w:val="none"/>
          <w:lang w:val="en-US" w:eastAsia="zh-CN"/>
        </w:rPr>
        <w:t>30</w:t>
      </w:r>
      <w:r>
        <w:rPr>
          <w:rFonts w:hint="eastAsia" w:ascii="宋体"/>
          <w:color w:val="auto"/>
          <w:highlight w:val="none"/>
        </w:rPr>
        <w:t>日，证书见附件。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该站编制了生产安全事故应急预案，于202</w:t>
      </w:r>
      <w:r>
        <w:rPr>
          <w:rFonts w:hint="eastAsia" w:ascii="宋体" w:hAnsi="宋体"/>
          <w:color w:val="auto"/>
          <w:sz w:val="28"/>
          <w:highlight w:val="none"/>
          <w:lang w:val="en-US" w:eastAsia="zh-CN"/>
        </w:rPr>
        <w:t>5年3</w:t>
      </w:r>
      <w:r>
        <w:rPr>
          <w:rFonts w:hint="eastAsia" w:ascii="宋体" w:hAnsi="宋体"/>
          <w:color w:val="auto"/>
          <w:sz w:val="28"/>
          <w:highlight w:val="none"/>
        </w:rPr>
        <w:t>月</w:t>
      </w:r>
      <w:r>
        <w:rPr>
          <w:rFonts w:hint="eastAsia" w:ascii="宋体" w:hAnsi="宋体"/>
          <w:color w:val="auto"/>
          <w:sz w:val="28"/>
          <w:highlight w:val="none"/>
          <w:lang w:val="en-US" w:eastAsia="zh-CN"/>
        </w:rPr>
        <w:t>21</w:t>
      </w:r>
      <w:r>
        <w:rPr>
          <w:rFonts w:hint="eastAsia" w:ascii="宋体" w:hAnsi="宋体"/>
          <w:color w:val="auto"/>
          <w:sz w:val="28"/>
          <w:highlight w:val="none"/>
        </w:rPr>
        <w:t>日在泰安市应急管理局进行了备案，备案编号为：3709</w:t>
      </w:r>
      <w:r>
        <w:rPr>
          <w:rFonts w:hint="eastAsia" w:ascii="宋体" w:hAnsi="宋体"/>
          <w:color w:val="auto"/>
          <w:sz w:val="28"/>
          <w:highlight w:val="none"/>
          <w:lang w:val="en-US" w:eastAsia="zh-CN"/>
        </w:rPr>
        <w:t>00</w:t>
      </w:r>
      <w:r>
        <w:rPr>
          <w:rFonts w:hint="eastAsia" w:ascii="宋体" w:hAnsi="宋体"/>
          <w:color w:val="auto"/>
          <w:sz w:val="28"/>
          <w:highlight w:val="none"/>
        </w:rPr>
        <w:t>-202</w:t>
      </w:r>
      <w:r>
        <w:rPr>
          <w:rFonts w:hint="eastAsia" w:ascii="宋体" w:hAnsi="宋体"/>
          <w:color w:val="auto"/>
          <w:sz w:val="28"/>
          <w:highlight w:val="none"/>
          <w:lang w:val="en-US" w:eastAsia="zh-CN"/>
        </w:rPr>
        <w:t>5</w:t>
      </w:r>
      <w:r>
        <w:rPr>
          <w:rFonts w:hint="eastAsia" w:ascii="宋体" w:hAnsi="宋体"/>
          <w:color w:val="auto"/>
          <w:sz w:val="28"/>
          <w:highlight w:val="none"/>
        </w:rPr>
        <w:t>-0</w:t>
      </w:r>
      <w:r>
        <w:rPr>
          <w:rFonts w:hint="eastAsia" w:ascii="宋体" w:hAnsi="宋体"/>
          <w:color w:val="auto"/>
          <w:sz w:val="28"/>
          <w:highlight w:val="none"/>
          <w:lang w:val="en-US" w:eastAsia="zh-CN"/>
        </w:rPr>
        <w:t>048</w:t>
      </w:r>
      <w:r>
        <w:rPr>
          <w:rFonts w:hint="eastAsia" w:ascii="宋体" w:hAnsi="宋体"/>
          <w:color w:val="auto"/>
          <w:sz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山东天科防雷工程有限公司对该站进行了相关防雷设施的检测，出具了合格的《雷电防护装置定期检测报告》，报告编号：</w:t>
      </w:r>
      <w:r>
        <w:rPr>
          <w:rFonts w:hint="eastAsia" w:ascii="宋体" w:hAnsi="宋体"/>
          <w:color w:val="auto"/>
          <w:sz w:val="28"/>
          <w:highlight w:val="none"/>
          <w:lang w:val="en-US" w:eastAsia="zh-CN"/>
        </w:rPr>
        <w:t>（1122016001）[</w:t>
      </w:r>
      <w:r>
        <w:rPr>
          <w:rFonts w:hint="eastAsia" w:ascii="宋体" w:hAnsi="宋体"/>
          <w:color w:val="auto"/>
          <w:sz w:val="28"/>
          <w:highlight w:val="none"/>
        </w:rPr>
        <w:t>202</w:t>
      </w:r>
      <w:r>
        <w:rPr>
          <w:rFonts w:hint="eastAsia" w:ascii="宋体" w:hAnsi="宋体"/>
          <w:color w:val="auto"/>
          <w:sz w:val="28"/>
          <w:highlight w:val="none"/>
          <w:lang w:val="en-US" w:eastAsia="zh-CN"/>
        </w:rPr>
        <w:t>5]D-</w:t>
      </w:r>
      <w:r>
        <w:rPr>
          <w:rFonts w:hint="eastAsia" w:ascii="宋体" w:hAnsi="宋体"/>
          <w:color w:val="auto"/>
          <w:sz w:val="28"/>
          <w:highlight w:val="none"/>
        </w:rPr>
        <w:t>TA</w:t>
      </w:r>
      <w:r>
        <w:rPr>
          <w:rFonts w:hint="eastAsia" w:ascii="宋体" w:hAnsi="宋体"/>
          <w:color w:val="auto"/>
          <w:sz w:val="28"/>
          <w:highlight w:val="none"/>
          <w:lang w:val="en-US" w:eastAsia="zh-CN"/>
        </w:rPr>
        <w:t>DY0035</w:t>
      </w:r>
      <w:r>
        <w:rPr>
          <w:rFonts w:hint="eastAsia" w:ascii="宋体" w:hAnsi="宋体"/>
          <w:color w:val="auto"/>
          <w:sz w:val="28"/>
          <w:highlight w:val="none"/>
        </w:rPr>
        <w:t>号，防雷类别：二类，结论为“合格：</w:t>
      </w:r>
      <w:r>
        <w:rPr>
          <w:rFonts w:hint="eastAsia" w:ascii="宋体" w:hAnsi="宋体"/>
          <w:color w:val="auto"/>
          <w:sz w:val="28"/>
          <w:highlight w:val="none"/>
          <w:lang w:val="en-US" w:eastAsia="zh-CN"/>
        </w:rPr>
        <w:t>加油站</w:t>
      </w:r>
      <w:r>
        <w:rPr>
          <w:rFonts w:hint="eastAsia" w:ascii="宋体" w:hAnsi="宋体"/>
          <w:color w:val="auto"/>
          <w:sz w:val="28"/>
          <w:highlight w:val="none"/>
        </w:rPr>
        <w:t>雷电防护装置符合现行国家防雷规范标准要求”，有效期至202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09</w:t>
      </w:r>
      <w:r>
        <w:rPr>
          <w:rFonts w:hint="eastAsia" w:ascii="宋体" w:hAnsi="宋体"/>
          <w:color w:val="auto"/>
          <w:sz w:val="28"/>
          <w:highlight w:val="none"/>
        </w:rPr>
        <w:t>月</w:t>
      </w:r>
      <w:r>
        <w:rPr>
          <w:rFonts w:hint="eastAsia" w:ascii="宋体" w:hAnsi="宋体"/>
          <w:color w:val="auto"/>
          <w:sz w:val="28"/>
          <w:highlight w:val="none"/>
          <w:lang w:val="en-US" w:eastAsia="zh-CN"/>
        </w:rPr>
        <w:t>25</w:t>
      </w:r>
      <w:r>
        <w:rPr>
          <w:rFonts w:hint="eastAsia" w:ascii="宋体" w:hAnsi="宋体"/>
          <w:color w:val="auto"/>
          <w:sz w:val="28"/>
          <w:highlight w:val="none"/>
        </w:rPr>
        <w:t>日，检测报告见附件。</w:t>
      </w:r>
    </w:p>
    <w:p w14:paraId="321751C7">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太平洋财产</w:t>
      </w:r>
      <w:r>
        <w:rPr>
          <w:rFonts w:hint="eastAsia" w:ascii="宋体"/>
          <w:color w:val="auto"/>
          <w:highlight w:val="none"/>
        </w:rPr>
        <w:t>保险股份有限公司</w:t>
      </w:r>
      <w:r>
        <w:rPr>
          <w:rFonts w:hint="eastAsia" w:ascii="宋体"/>
          <w:color w:val="auto"/>
          <w:highlight w:val="none"/>
          <w:lang w:val="en-US" w:eastAsia="zh-CN"/>
        </w:rPr>
        <w:t>北京分公司</w:t>
      </w:r>
      <w:r>
        <w:rPr>
          <w:rFonts w:hint="eastAsia" w:ascii="宋体"/>
          <w:color w:val="auto"/>
          <w:highlight w:val="none"/>
        </w:rPr>
        <w:t>投保安全生产责任保险，保险期限202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1</w:t>
      </w:r>
      <w:r>
        <w:rPr>
          <w:rFonts w:hint="eastAsia" w:ascii="宋体"/>
          <w:color w:val="auto"/>
          <w:highlight w:val="none"/>
        </w:rPr>
        <w:t>月</w:t>
      </w:r>
      <w:r>
        <w:rPr>
          <w:rFonts w:hint="eastAsia" w:ascii="宋体"/>
          <w:color w:val="auto"/>
          <w:highlight w:val="none"/>
          <w:lang w:val="en-US" w:eastAsia="zh-CN"/>
        </w:rPr>
        <w:t>1</w:t>
      </w:r>
      <w:r>
        <w:rPr>
          <w:rFonts w:hint="eastAsia" w:ascii="宋体"/>
          <w:color w:val="auto"/>
          <w:highlight w:val="none"/>
        </w:rPr>
        <w:t>日至2025年</w:t>
      </w:r>
      <w:r>
        <w:rPr>
          <w:rFonts w:hint="eastAsia" w:ascii="宋体"/>
          <w:color w:val="auto"/>
          <w:highlight w:val="none"/>
          <w:lang w:val="en-US" w:eastAsia="zh-CN"/>
        </w:rPr>
        <w:t>12</w:t>
      </w:r>
      <w:r>
        <w:rPr>
          <w:rFonts w:hint="eastAsia" w:ascii="宋体"/>
          <w:color w:val="auto"/>
          <w:highlight w:val="none"/>
        </w:rPr>
        <w:t>月</w:t>
      </w:r>
      <w:r>
        <w:rPr>
          <w:rFonts w:hint="eastAsia" w:ascii="宋体"/>
          <w:color w:val="auto"/>
          <w:highlight w:val="none"/>
          <w:lang w:val="en-US" w:eastAsia="zh-CN"/>
        </w:rPr>
        <w:t>31</w:t>
      </w:r>
      <w:r>
        <w:rPr>
          <w:rFonts w:hint="eastAsia" w:ascii="宋体"/>
          <w:color w:val="auto"/>
          <w:highlight w:val="none"/>
        </w:rPr>
        <w:t>日，详见附件。</w:t>
      </w:r>
    </w:p>
    <w:p w14:paraId="0693CF36">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1599626C">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该站各项安全管理制度健全，有生产经营单位生产事故应急预案，并定期进行应急救援演练。该加油站消防器材配备齐全，加油站配备了35kg推车式干粉灭火器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2</w:t>
      </w:r>
      <w:r>
        <w:rPr>
          <w:rFonts w:hint="eastAsia" w:ascii="宋体"/>
          <w:color w:val="auto"/>
          <w:highlight w:val="none"/>
        </w:rPr>
        <w:t>具，</w:t>
      </w:r>
      <w:r>
        <w:rPr>
          <w:rFonts w:hint="eastAsia" w:ascii="宋体"/>
          <w:color w:val="auto"/>
          <w:highlight w:val="none"/>
          <w:lang w:val="en-US" w:eastAsia="zh-CN"/>
        </w:rPr>
        <w:t>8</w:t>
      </w:r>
      <w:r>
        <w:rPr>
          <w:rFonts w:hint="eastAsia" w:ascii="宋体"/>
          <w:color w:val="auto"/>
          <w:highlight w:val="none"/>
        </w:rPr>
        <w:t>kg手提式干粉灭火器</w:t>
      </w:r>
      <w:r>
        <w:rPr>
          <w:rFonts w:hint="eastAsia" w:ascii="宋体"/>
          <w:color w:val="auto"/>
          <w:highlight w:val="none"/>
          <w:lang w:val="en-US" w:eastAsia="zh-CN"/>
        </w:rPr>
        <w:t>8</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4</w:t>
      </w:r>
      <w:r>
        <w:rPr>
          <w:rFonts w:hint="eastAsia" w:ascii="宋体"/>
          <w:color w:val="auto"/>
          <w:highlight w:val="none"/>
        </w:rPr>
        <w:t>具，CO</w:t>
      </w:r>
      <w:r>
        <w:rPr>
          <w:rFonts w:hint="eastAsia" w:ascii="宋体"/>
          <w:color w:val="auto"/>
          <w:highlight w:val="none"/>
          <w:vertAlign w:val="subscript"/>
        </w:rPr>
        <w:t>2</w:t>
      </w:r>
      <w:r>
        <w:rPr>
          <w:rFonts w:hint="eastAsia" w:ascii="宋体"/>
          <w:color w:val="auto"/>
          <w:highlight w:val="none"/>
        </w:rPr>
        <w:t>灭火器</w:t>
      </w:r>
      <w:r>
        <w:rPr>
          <w:rFonts w:hint="eastAsia" w:ascii="宋体"/>
          <w:color w:val="auto"/>
          <w:highlight w:val="none"/>
          <w:lang w:val="en-US" w:eastAsia="zh-CN"/>
        </w:rPr>
        <w:t>6</w:t>
      </w:r>
      <w:r>
        <w:rPr>
          <w:rFonts w:hint="eastAsia" w:ascii="宋体"/>
          <w:color w:val="auto"/>
          <w:highlight w:val="none"/>
        </w:rPr>
        <w:t>具，灭火毯</w:t>
      </w:r>
      <w:r>
        <w:rPr>
          <w:rFonts w:hint="eastAsia" w:ascii="宋体"/>
          <w:color w:val="auto"/>
          <w:highlight w:val="none"/>
          <w:lang w:val="en-US" w:eastAsia="zh-CN"/>
        </w:rPr>
        <w:t>6</w:t>
      </w:r>
      <w:r>
        <w:rPr>
          <w:rFonts w:hint="eastAsia" w:ascii="宋体"/>
          <w:color w:val="auto"/>
          <w:highlight w:val="none"/>
        </w:rPr>
        <w:t>块，消防锨</w:t>
      </w:r>
      <w:r>
        <w:rPr>
          <w:rFonts w:hint="eastAsia" w:ascii="宋体"/>
          <w:color w:val="auto"/>
          <w:highlight w:val="none"/>
          <w:lang w:val="en-US" w:eastAsia="zh-CN"/>
        </w:rPr>
        <w:t>4</w:t>
      </w:r>
      <w:r>
        <w:rPr>
          <w:rFonts w:hint="eastAsia" w:ascii="宋体"/>
          <w:color w:val="auto"/>
          <w:highlight w:val="none"/>
        </w:rPr>
        <w:t>把，消防桶</w:t>
      </w:r>
      <w:r>
        <w:rPr>
          <w:rFonts w:hint="eastAsia" w:ascii="宋体"/>
          <w:color w:val="auto"/>
          <w:highlight w:val="none"/>
          <w:lang w:val="en-US" w:eastAsia="zh-CN"/>
        </w:rPr>
        <w:t>4</w:t>
      </w:r>
      <w:r>
        <w:rPr>
          <w:rFonts w:hint="eastAsia" w:ascii="宋体"/>
          <w:color w:val="auto"/>
          <w:highlight w:val="none"/>
        </w:rPr>
        <w:t>个，消防沙池2m</w:t>
      </w:r>
      <w:r>
        <w:rPr>
          <w:rFonts w:hint="eastAsia" w:ascii="宋体"/>
          <w:color w:val="auto"/>
          <w:highlight w:val="none"/>
          <w:vertAlign w:val="superscript"/>
        </w:rPr>
        <w:t>3</w:t>
      </w:r>
      <w:r>
        <w:rPr>
          <w:rFonts w:hint="eastAsia" w:ascii="宋体"/>
          <w:color w:val="auto"/>
          <w:highlight w:val="none"/>
        </w:rPr>
        <w:t>。</w:t>
      </w:r>
    </w:p>
    <w:p w14:paraId="6FFECC2C">
      <w:pPr>
        <w:pStyle w:val="17"/>
        <w:widowControl w:val="0"/>
        <w:adjustRightInd w:val="0"/>
        <w:snapToGrid w:val="0"/>
        <w:spacing w:line="360" w:lineRule="auto"/>
        <w:ind w:firstLine="560"/>
        <w:jc w:val="center"/>
        <w:rPr>
          <w:rFonts w:hint="eastAsia"/>
          <w:b/>
          <w:bCs/>
          <w:color w:val="auto"/>
          <w:sz w:val="32"/>
          <w:szCs w:val="32"/>
          <w:highlight w:val="none"/>
        </w:rPr>
      </w:pPr>
      <w:r>
        <w:rPr>
          <w:rFonts w:hint="eastAsia"/>
          <w:b/>
          <w:bCs/>
          <w:color w:val="auto"/>
          <w:sz w:val="32"/>
          <w:szCs w:val="32"/>
          <w:highlight w:val="none"/>
        </w:rPr>
        <w:t>第四章 评价单元划分与评价方法选择</w:t>
      </w:r>
    </w:p>
    <w:p w14:paraId="2746B56D">
      <w:pPr>
        <w:pStyle w:val="4"/>
        <w:spacing w:before="312" w:beforeLines="100" w:after="312" w:afterLines="100" w:line="360" w:lineRule="auto"/>
        <w:ind w:firstLine="0"/>
        <w:rPr>
          <w:rFonts w:hint="eastAsia"/>
          <w:color w:val="auto"/>
          <w:highlight w:val="none"/>
        </w:rPr>
      </w:pPr>
      <w:bookmarkStart w:id="16" w:name="_Toc102633907"/>
      <w:bookmarkStart w:id="17" w:name="_Toc238007574"/>
      <w:bookmarkStart w:id="18" w:name="_Toc198026273"/>
      <w:bookmarkStart w:id="19" w:name="_Toc7829"/>
      <w:bookmarkStart w:id="20" w:name="_Toc272364536"/>
      <w:bookmarkStart w:id="21" w:name="_Toc15033754"/>
      <w:bookmarkStart w:id="22" w:name="_Toc12643"/>
      <w:bookmarkStart w:id="23" w:name="_Toc192907201"/>
      <w:bookmarkStart w:id="24" w:name="_Toc102634256"/>
      <w:bookmarkStart w:id="25" w:name="_Toc102634407"/>
      <w:bookmarkStart w:id="26" w:name="_Toc23543"/>
      <w:bookmarkStart w:id="27" w:name="_Toc102633981"/>
      <w:r>
        <w:rPr>
          <w:rFonts w:hint="eastAsia"/>
          <w:color w:val="auto"/>
          <w:highlight w:val="none"/>
        </w:rPr>
        <w:t>第一节 评价单元的划分</w:t>
      </w:r>
      <w:bookmarkEnd w:id="16"/>
      <w:bookmarkEnd w:id="17"/>
      <w:bookmarkEnd w:id="18"/>
      <w:bookmarkEnd w:id="19"/>
      <w:bookmarkEnd w:id="20"/>
      <w:bookmarkEnd w:id="21"/>
      <w:bookmarkEnd w:id="22"/>
      <w:bookmarkEnd w:id="23"/>
      <w:bookmarkEnd w:id="24"/>
      <w:bookmarkEnd w:id="25"/>
      <w:bookmarkEnd w:id="26"/>
      <w:bookmarkEnd w:id="27"/>
    </w:p>
    <w:p w14:paraId="16EA1EA6">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widowControl w:val="0"/>
        <w:adjustRightInd w:val="0"/>
        <w:snapToGrid w:val="0"/>
        <w:spacing w:line="360" w:lineRule="auto"/>
        <w:ind w:firstLine="560"/>
        <w:jc w:val="both"/>
        <w:rPr>
          <w:color w:val="auto"/>
          <w:highlight w:val="none"/>
        </w:rPr>
      </w:pPr>
      <w:bookmarkStart w:id="28" w:name="_Toc102634257"/>
      <w:r>
        <w:rPr>
          <w:rFonts w:hint="eastAsia"/>
          <w:color w:val="auto"/>
          <w:highlight w:val="none"/>
        </w:rPr>
        <w:t>一</w:t>
      </w:r>
      <w:r>
        <w:rPr>
          <w:color w:val="auto"/>
          <w:highlight w:val="none"/>
        </w:rPr>
        <w:t>、以危险有害因素的类别为主划分评价单元</w:t>
      </w:r>
      <w:bookmarkEnd w:id="28"/>
    </w:p>
    <w:p w14:paraId="27353523">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026DA44C">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398C798A">
      <w:pPr>
        <w:pStyle w:val="22"/>
        <w:widowControl w:val="0"/>
        <w:adjustRightInd w:val="0"/>
        <w:snapToGrid w:val="0"/>
        <w:spacing w:line="360" w:lineRule="auto"/>
        <w:ind w:firstLine="560"/>
        <w:jc w:val="both"/>
        <w:rPr>
          <w:color w:val="auto"/>
          <w:highlight w:val="none"/>
        </w:rPr>
      </w:pPr>
      <w:bookmarkStart w:id="29" w:name="_Toc102634258"/>
      <w:r>
        <w:rPr>
          <w:rFonts w:hint="eastAsia"/>
          <w:color w:val="auto"/>
          <w:highlight w:val="none"/>
        </w:rPr>
        <w:t>二</w:t>
      </w:r>
      <w:r>
        <w:rPr>
          <w:color w:val="auto"/>
          <w:highlight w:val="none"/>
        </w:rPr>
        <w:t>、以物质特征划分评价单元</w:t>
      </w:r>
      <w:bookmarkEnd w:id="29"/>
    </w:p>
    <w:p w14:paraId="62CFCC3E">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0FBFE2C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2B14D1E9">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6DE469C5">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43587CB1">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50938A5E">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0B399314">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4728414C">
      <w:pPr>
        <w:pStyle w:val="4"/>
        <w:spacing w:before="312" w:beforeLines="100" w:after="312" w:afterLines="100" w:line="360" w:lineRule="auto"/>
        <w:ind w:firstLine="0"/>
        <w:rPr>
          <w:rFonts w:hint="eastAsia"/>
          <w:color w:val="auto"/>
          <w:highlight w:val="none"/>
        </w:rPr>
      </w:pPr>
      <w:bookmarkStart w:id="30" w:name="_Toc102633908"/>
      <w:bookmarkStart w:id="31" w:name="_Toc102633982"/>
      <w:bookmarkStart w:id="32" w:name="_Toc22810"/>
      <w:bookmarkStart w:id="33" w:name="_Toc102634259"/>
      <w:bookmarkStart w:id="34" w:name="_Toc102634408"/>
      <w:r>
        <w:rPr>
          <w:rFonts w:hint="eastAsia"/>
          <w:color w:val="auto"/>
          <w:highlight w:val="none"/>
        </w:rPr>
        <w:t>第二节 评价方法的选择</w:t>
      </w:r>
      <w:bookmarkEnd w:id="30"/>
      <w:bookmarkEnd w:id="31"/>
      <w:bookmarkEnd w:id="32"/>
      <w:bookmarkEnd w:id="33"/>
      <w:bookmarkEnd w:id="34"/>
    </w:p>
    <w:p w14:paraId="112AC8C4">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38B1AF0">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lang w:eastAsia="zh-CN"/>
        </w:rPr>
        <w:t>中国石油天然气股份有限公司山东泰安销售分公司范镇高速出口加油站</w:t>
      </w:r>
      <w:r>
        <w:rPr>
          <w:rFonts w:ascii="宋体"/>
          <w:color w:val="auto"/>
          <w:highlight w:val="none"/>
        </w:rPr>
        <w:t>的具体情况，选用安全检查表、事故树法及危险度评价法对加油站进行评价。具体应用如下表所示：</w:t>
      </w:r>
    </w:p>
    <w:p w14:paraId="2063F328">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407FDEC0">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677AB48F">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4354371D">
            <w:pPr>
              <w:pStyle w:val="20"/>
              <w:widowControl w:val="0"/>
              <w:adjustRightInd w:val="0"/>
              <w:snapToGrid w:val="0"/>
              <w:spacing w:line="360" w:lineRule="auto"/>
              <w:rPr>
                <w:rFonts w:ascii="宋体"/>
                <w:b/>
                <w:color w:val="auto"/>
                <w:highlight w:val="none"/>
              </w:rPr>
            </w:pPr>
          </w:p>
        </w:tc>
        <w:tc>
          <w:tcPr>
            <w:tcW w:w="1196" w:type="pct"/>
            <w:vAlign w:val="center"/>
          </w:tcPr>
          <w:p w14:paraId="3AFEA6A5">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1A7F0C2D">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50E43E4">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77AD246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2364CD10">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7A1F004A">
            <w:pPr>
              <w:pStyle w:val="20"/>
              <w:widowControl w:val="0"/>
              <w:adjustRightInd w:val="0"/>
              <w:snapToGrid w:val="0"/>
              <w:spacing w:line="360" w:lineRule="auto"/>
              <w:rPr>
                <w:rFonts w:ascii="宋体"/>
                <w:color w:val="auto"/>
                <w:highlight w:val="none"/>
              </w:rPr>
            </w:pPr>
          </w:p>
        </w:tc>
        <w:tc>
          <w:tcPr>
            <w:tcW w:w="972" w:type="pct"/>
            <w:vAlign w:val="center"/>
          </w:tcPr>
          <w:p w14:paraId="55972ED6">
            <w:pPr>
              <w:pStyle w:val="20"/>
              <w:widowControl w:val="0"/>
              <w:adjustRightInd w:val="0"/>
              <w:snapToGrid w:val="0"/>
              <w:spacing w:line="360" w:lineRule="auto"/>
              <w:rPr>
                <w:rFonts w:ascii="宋体"/>
                <w:color w:val="auto"/>
                <w:highlight w:val="none"/>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75" w:type="pct"/>
            <w:vAlign w:val="center"/>
          </w:tcPr>
          <w:p w14:paraId="5F33C178">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5FC52626">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3F48F08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F6F5754">
            <w:pPr>
              <w:pStyle w:val="20"/>
              <w:widowControl w:val="0"/>
              <w:adjustRightInd w:val="0"/>
              <w:snapToGrid w:val="0"/>
              <w:spacing w:line="360" w:lineRule="auto"/>
              <w:rPr>
                <w:rFonts w:ascii="宋体"/>
                <w:color w:val="auto"/>
                <w:highlight w:val="none"/>
              </w:rPr>
            </w:pPr>
          </w:p>
        </w:tc>
        <w:tc>
          <w:tcPr>
            <w:tcW w:w="972" w:type="pct"/>
            <w:vAlign w:val="center"/>
          </w:tcPr>
          <w:p w14:paraId="4EA5D93B">
            <w:pPr>
              <w:pStyle w:val="20"/>
              <w:widowControl w:val="0"/>
              <w:adjustRightInd w:val="0"/>
              <w:snapToGrid w:val="0"/>
              <w:spacing w:line="360" w:lineRule="auto"/>
              <w:rPr>
                <w:rFonts w:ascii="宋体"/>
                <w:color w:val="auto"/>
                <w:highlight w:val="none"/>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3A2314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4D3121E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309E73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02E3C8">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24FB2A7F">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588F5A71">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5416D32F">
            <w:pPr>
              <w:pStyle w:val="20"/>
              <w:widowControl w:val="0"/>
              <w:adjustRightInd w:val="0"/>
              <w:snapToGrid w:val="0"/>
              <w:spacing w:line="360" w:lineRule="auto"/>
              <w:rPr>
                <w:rFonts w:ascii="宋体"/>
                <w:color w:val="auto"/>
                <w:highlight w:val="none"/>
              </w:rPr>
            </w:pPr>
          </w:p>
        </w:tc>
        <w:tc>
          <w:tcPr>
            <w:tcW w:w="972" w:type="pct"/>
            <w:vAlign w:val="center"/>
          </w:tcPr>
          <w:p w14:paraId="34376E2F">
            <w:pPr>
              <w:pStyle w:val="20"/>
              <w:widowControl w:val="0"/>
              <w:adjustRightInd w:val="0"/>
              <w:snapToGrid w:val="0"/>
              <w:spacing w:line="360" w:lineRule="auto"/>
              <w:rPr>
                <w:rFonts w:ascii="宋体"/>
                <w:color w:val="auto"/>
                <w:highlight w:val="none"/>
              </w:rPr>
            </w:pPr>
          </w:p>
        </w:tc>
      </w:tr>
    </w:tbl>
    <w:p w14:paraId="761C022E">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35" w:name="_Toc7871"/>
      <w:r>
        <w:rPr>
          <w:rFonts w:hint="eastAsia"/>
          <w:color w:val="auto"/>
          <w:highlight w:val="none"/>
        </w:rPr>
        <w:t>第六章  安全对策措施及建议</w:t>
      </w:r>
      <w:bookmarkEnd w:id="35"/>
    </w:p>
    <w:p w14:paraId="61D5A378">
      <w:pPr>
        <w:pStyle w:val="4"/>
        <w:spacing w:before="312" w:beforeLines="100" w:after="312" w:afterLines="100" w:line="360" w:lineRule="auto"/>
        <w:ind w:firstLine="0"/>
        <w:rPr>
          <w:rFonts w:hint="eastAsia"/>
          <w:color w:val="auto"/>
          <w:highlight w:val="none"/>
        </w:rPr>
      </w:pPr>
      <w:bookmarkStart w:id="36" w:name="_Toc225046264"/>
      <w:bookmarkStart w:id="37" w:name="_Toc339456079"/>
      <w:bookmarkStart w:id="38" w:name="_Toc102633989"/>
      <w:bookmarkStart w:id="39" w:name="_Toc348877039"/>
      <w:bookmarkStart w:id="40" w:name="_Toc4961"/>
      <w:bookmarkStart w:id="41" w:name="_Toc242065302"/>
      <w:bookmarkStart w:id="42" w:name="_Toc102634277"/>
      <w:bookmarkStart w:id="43" w:name="_Toc15033762"/>
      <w:bookmarkStart w:id="44" w:name="_Toc102634415"/>
      <w:bookmarkStart w:id="45" w:name="_Toc2607"/>
      <w:bookmarkStart w:id="46" w:name="_Toc102633915"/>
      <w:r>
        <w:rPr>
          <w:rFonts w:hint="eastAsia"/>
          <w:color w:val="auto"/>
          <w:highlight w:val="none"/>
        </w:rPr>
        <w:t xml:space="preserve">第一节 </w:t>
      </w:r>
      <w:bookmarkEnd w:id="36"/>
      <w:bookmarkEnd w:id="37"/>
      <w:r>
        <w:rPr>
          <w:rFonts w:hint="eastAsia"/>
          <w:color w:val="auto"/>
          <w:highlight w:val="none"/>
        </w:rPr>
        <w:t>存在的问题及整改建议</w:t>
      </w:r>
      <w:bookmarkEnd w:id="38"/>
      <w:bookmarkEnd w:id="39"/>
      <w:bookmarkEnd w:id="40"/>
      <w:bookmarkEnd w:id="41"/>
      <w:bookmarkEnd w:id="42"/>
      <w:bookmarkEnd w:id="43"/>
      <w:bookmarkEnd w:id="44"/>
      <w:bookmarkEnd w:id="45"/>
      <w:bookmarkEnd w:id="46"/>
    </w:p>
    <w:p w14:paraId="0EA8F6C9">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47" w:name="_Toc49590281"/>
      <w:bookmarkStart w:id="48" w:name="_Toc15033763"/>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47"/>
      <w:bookmarkEnd w:id="48"/>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1BE3E7C0">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3845" w:type="dxa"/>
            <w:shd w:val="clear" w:color="auto" w:fill="auto"/>
            <w:vAlign w:val="center"/>
          </w:tcPr>
          <w:p w14:paraId="6CAEA933">
            <w:pP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加油机未设颜色和文字标识。</w:t>
            </w:r>
          </w:p>
        </w:tc>
        <w:tc>
          <w:tcPr>
            <w:tcW w:w="4740" w:type="dxa"/>
            <w:shd w:val="clear" w:color="auto" w:fill="auto"/>
            <w:vAlign w:val="center"/>
          </w:tcPr>
          <w:p w14:paraId="590897B6">
            <w:pPr>
              <w:rPr>
                <w:rFonts w:hint="default" w:ascii="Times New Roman" w:hAnsi="Times New Roman" w:eastAsia="宋体" w:cs="Times New Roman"/>
                <w:color w:val="auto"/>
                <w:kern w:val="2"/>
                <w:sz w:val="21"/>
                <w:szCs w:val="21"/>
                <w:highlight w:val="none"/>
                <w:u w:color="000000"/>
                <w:lang w:val="en-US" w:eastAsia="zh-CN" w:bidi="ar-SA"/>
              </w:rPr>
            </w:pPr>
            <w:r>
              <w:rPr>
                <w:rFonts w:hint="eastAsia" w:ascii="宋体" w:hAnsi="宋体"/>
                <w:color w:val="auto"/>
                <w:highlight w:val="none"/>
                <w:lang w:val="en-US" w:eastAsia="zh-CN"/>
              </w:rPr>
              <w:t>加油机应设颜色和文字标识。</w:t>
            </w:r>
          </w:p>
        </w:tc>
      </w:tr>
      <w:tr w14:paraId="6C26F3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D187640">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highlight w:val="none"/>
                <w:u w:color="000000"/>
                <w:lang w:val="en-US" w:eastAsia="zh-CN"/>
              </w:rPr>
            </w:pPr>
            <w:r>
              <w:rPr>
                <w:rFonts w:hint="eastAsia" w:ascii="宋体" w:hAnsi="宋体"/>
                <w:bCs/>
                <w:color w:val="auto"/>
                <w:kern w:val="0"/>
                <w:position w:val="2"/>
                <w:highlight w:val="none"/>
                <w:u w:color="000000"/>
                <w:lang w:val="en-US" w:eastAsia="zh-CN"/>
              </w:rPr>
              <w:t>2</w:t>
            </w:r>
          </w:p>
        </w:tc>
        <w:tc>
          <w:tcPr>
            <w:tcW w:w="3845" w:type="dxa"/>
            <w:shd w:val="clear" w:color="auto" w:fill="auto"/>
            <w:vAlign w:val="center"/>
          </w:tcPr>
          <w:p w14:paraId="1D67410B">
            <w:pPr>
              <w:rPr>
                <w:rFonts w:hint="eastAsia" w:ascii="宋体" w:hAnsi="宋体" w:eastAsia="宋体" w:cs="Times New Roman"/>
                <w:color w:val="auto"/>
                <w:kern w:val="2"/>
                <w:sz w:val="21"/>
                <w:szCs w:val="21"/>
                <w:highlight w:val="none"/>
                <w:lang w:val="en-US" w:eastAsia="zh-CN" w:bidi="ar-SA"/>
              </w:rPr>
            </w:pPr>
            <w:r>
              <w:rPr>
                <w:rStyle w:val="11"/>
                <w:rFonts w:hint="eastAsia"/>
                <w:color w:val="auto"/>
                <w:highlight w:val="none"/>
                <w:u w:color="000000"/>
                <w:lang w:val="en-US" w:eastAsia="zh-CN"/>
              </w:rPr>
              <w:t>液位仪、测漏仪未</w:t>
            </w:r>
            <w:r>
              <w:rPr>
                <w:rStyle w:val="11"/>
                <w:rFonts w:hint="eastAsia"/>
                <w:color w:val="auto"/>
                <w:highlight w:val="none"/>
                <w:u w:color="000000"/>
              </w:rPr>
              <w:t>设不间断电源</w:t>
            </w:r>
            <w:r>
              <w:rPr>
                <w:rStyle w:val="11"/>
                <w:rFonts w:hint="eastAsia"/>
                <w:color w:val="auto"/>
                <w:highlight w:val="none"/>
                <w:u w:color="000000"/>
                <w:lang w:eastAsia="zh-CN"/>
              </w:rPr>
              <w:t>。</w:t>
            </w:r>
          </w:p>
        </w:tc>
        <w:tc>
          <w:tcPr>
            <w:tcW w:w="4740" w:type="dxa"/>
            <w:shd w:val="clear" w:color="auto" w:fill="auto"/>
            <w:vAlign w:val="center"/>
          </w:tcPr>
          <w:p w14:paraId="3FFCE581">
            <w:pPr>
              <w:rPr>
                <w:rFonts w:hint="eastAsia" w:ascii="Times New Roman" w:hAnsi="Times New Roman" w:eastAsia="宋体" w:cs="Times New Roman"/>
                <w:color w:val="auto"/>
                <w:kern w:val="2"/>
                <w:sz w:val="21"/>
                <w:szCs w:val="21"/>
                <w:highlight w:val="none"/>
                <w:u w:color="000000"/>
                <w:lang w:val="en-US" w:eastAsia="zh-CN" w:bidi="ar-SA"/>
              </w:rPr>
            </w:pPr>
            <w:r>
              <w:rPr>
                <w:rStyle w:val="11"/>
                <w:rFonts w:hint="eastAsia"/>
                <w:color w:val="auto"/>
                <w:highlight w:val="none"/>
                <w:u w:color="000000"/>
                <w:lang w:val="en-US" w:eastAsia="zh-CN"/>
              </w:rPr>
              <w:t>液位仪、测漏仪应</w:t>
            </w:r>
            <w:r>
              <w:rPr>
                <w:rStyle w:val="11"/>
                <w:rFonts w:hint="eastAsia"/>
                <w:color w:val="auto"/>
                <w:highlight w:val="none"/>
                <w:u w:color="000000"/>
              </w:rPr>
              <w:t>设不间断电源</w:t>
            </w:r>
            <w:r>
              <w:rPr>
                <w:rStyle w:val="11"/>
                <w:rFonts w:hint="eastAsia"/>
                <w:color w:val="auto"/>
                <w:highlight w:val="none"/>
                <w:u w:color="000000"/>
                <w:lang w:eastAsia="zh-CN"/>
              </w:rPr>
              <w:t>。</w:t>
            </w:r>
          </w:p>
        </w:tc>
      </w:tr>
      <w:tr w14:paraId="1F2D18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FF56B8">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highlight w:val="none"/>
                <w:u w:color="000000"/>
                <w:lang w:val="en-US" w:eastAsia="zh-CN"/>
              </w:rPr>
            </w:pPr>
            <w:r>
              <w:rPr>
                <w:rFonts w:hint="eastAsia" w:ascii="宋体" w:hAnsi="宋体"/>
                <w:bCs/>
                <w:color w:val="auto"/>
                <w:kern w:val="0"/>
                <w:position w:val="2"/>
                <w:highlight w:val="none"/>
                <w:u w:color="000000"/>
                <w:lang w:val="en-US" w:eastAsia="zh-CN"/>
              </w:rPr>
              <w:t>3</w:t>
            </w:r>
          </w:p>
        </w:tc>
        <w:tc>
          <w:tcPr>
            <w:tcW w:w="3845" w:type="dxa"/>
            <w:shd w:val="clear" w:color="auto" w:fill="auto"/>
            <w:vAlign w:val="center"/>
          </w:tcPr>
          <w:p w14:paraId="32F16488">
            <w:pPr>
              <w:rPr>
                <w:rFonts w:hint="default" w:ascii="宋体" w:hAnsi="宋体" w:eastAsia="宋体" w:cs="Times New Roman"/>
                <w:color w:val="auto"/>
                <w:kern w:val="0"/>
                <w:sz w:val="21"/>
                <w:szCs w:val="21"/>
                <w:highlight w:val="none"/>
                <w:u w:color="000000"/>
                <w:lang w:val="en-US" w:eastAsia="zh-CN" w:bidi="ar-SA"/>
              </w:rPr>
            </w:pPr>
            <w:r>
              <w:rPr>
                <w:rFonts w:hint="eastAsia" w:ascii="宋体" w:hAnsi="宋体" w:cs="Times New Roman"/>
                <w:color w:val="auto"/>
                <w:kern w:val="0"/>
                <w:sz w:val="21"/>
                <w:szCs w:val="21"/>
                <w:highlight w:val="none"/>
                <w:u w:color="000000"/>
                <w:lang w:val="en-US" w:eastAsia="zh-CN" w:bidi="ar-SA"/>
              </w:rPr>
              <w:t>营业室内急停按钮未设防护罩。</w:t>
            </w:r>
          </w:p>
        </w:tc>
        <w:tc>
          <w:tcPr>
            <w:tcW w:w="4740" w:type="dxa"/>
            <w:shd w:val="clear" w:color="auto" w:fill="auto"/>
            <w:vAlign w:val="center"/>
          </w:tcPr>
          <w:p w14:paraId="16A9E91B">
            <w:pPr>
              <w:rPr>
                <w:rFonts w:hint="eastAsia" w:ascii="宋体" w:hAnsi="宋体" w:eastAsia="宋体" w:cs="Times New Roman"/>
                <w:color w:val="auto"/>
                <w:kern w:val="0"/>
                <w:sz w:val="21"/>
                <w:szCs w:val="21"/>
                <w:highlight w:val="none"/>
                <w:u w:color="000000"/>
                <w:lang w:val="en-US" w:eastAsia="zh-CN" w:bidi="ar-SA"/>
              </w:rPr>
            </w:pPr>
            <w:r>
              <w:rPr>
                <w:rFonts w:hint="eastAsia" w:ascii="宋体" w:hAnsi="宋体" w:cs="Times New Roman"/>
                <w:color w:val="auto"/>
                <w:kern w:val="0"/>
                <w:sz w:val="21"/>
                <w:szCs w:val="21"/>
                <w:highlight w:val="none"/>
                <w:u w:color="000000"/>
                <w:lang w:val="en-US" w:eastAsia="zh-CN" w:bidi="ar-SA"/>
              </w:rPr>
              <w:t>营业室内急停按钮应设防护罩。</w:t>
            </w:r>
          </w:p>
        </w:tc>
      </w:tr>
    </w:tbl>
    <w:p w14:paraId="6F0AEE08">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2A98B92E">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08E10C34">
      <w:pPr>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2277745" cy="3565525"/>
            <wp:effectExtent l="0" t="0" r="0" b="0"/>
            <wp:docPr id="9" name="图片 9" descr="174399306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3993069155"/>
                    <pic:cNvPicPr>
                      <a:picLocks noChangeAspect="1"/>
                    </pic:cNvPicPr>
                  </pic:nvPicPr>
                  <pic:blipFill>
                    <a:blip r:embed="rId4"/>
                    <a:srcRect l="8772" t="1841" r="2087" b="1549"/>
                    <a:stretch>
                      <a:fillRect/>
                    </a:stretch>
                  </pic:blipFill>
                  <pic:spPr>
                    <a:xfrm>
                      <a:off x="0" y="0"/>
                      <a:ext cx="2277745" cy="356552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225040" cy="3247390"/>
            <wp:effectExtent l="0" t="0" r="0" b="13970"/>
            <wp:docPr id="10" name="图片 10" descr="174399309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43993095408"/>
                    <pic:cNvPicPr preferRelativeResize="0">
                      <a:picLocks noChangeAspect="1"/>
                    </pic:cNvPicPr>
                  </pic:nvPicPr>
                  <pic:blipFill>
                    <a:blip r:embed="rId5"/>
                    <a:stretch>
                      <a:fillRect/>
                    </a:stretch>
                  </pic:blipFill>
                  <pic:spPr>
                    <a:xfrm>
                      <a:off x="0" y="0"/>
                      <a:ext cx="2225040" cy="3247390"/>
                    </a:xfrm>
                    <a:prstGeom prst="rect">
                      <a:avLst/>
                    </a:prstGeom>
                  </pic:spPr>
                </pic:pic>
              </a:graphicData>
            </a:graphic>
          </wp:inline>
        </w:drawing>
      </w:r>
      <w:r>
        <w:rPr>
          <w:rFonts w:hint="default" w:ascii="宋体"/>
          <w:color w:val="auto"/>
          <w:kern w:val="0"/>
          <w:sz w:val="28"/>
          <w:szCs w:val="20"/>
          <w:lang w:val="en-US" w:eastAsia="zh-CN"/>
        </w:rPr>
        <w:br w:type="page"/>
      </w:r>
      <w:r>
        <w:rPr>
          <w:rFonts w:hint="default" w:ascii="宋体"/>
          <w:color w:val="auto"/>
          <w:kern w:val="0"/>
          <w:sz w:val="28"/>
          <w:szCs w:val="20"/>
          <w:lang w:val="en-US" w:eastAsia="zh-CN"/>
        </w:rPr>
        <w:drawing>
          <wp:inline distT="0" distB="0" distL="114300" distR="114300">
            <wp:extent cx="2806700" cy="2101850"/>
            <wp:effectExtent l="0" t="0" r="12700" b="1270"/>
            <wp:docPr id="2" name="图片 2" descr="IMG_20250325_09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25_094320"/>
                    <pic:cNvPicPr>
                      <a:picLocks noChangeAspect="1"/>
                    </pic:cNvPicPr>
                  </pic:nvPicPr>
                  <pic:blipFill>
                    <a:blip r:embed="rId6"/>
                    <a:srcRect t="23651" b="20188"/>
                    <a:stretch>
                      <a:fillRect/>
                    </a:stretch>
                  </pic:blipFill>
                  <pic:spPr>
                    <a:xfrm>
                      <a:off x="0" y="0"/>
                      <a:ext cx="2806700" cy="210185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85390" cy="3627755"/>
            <wp:effectExtent l="0" t="0" r="13970" b="14605"/>
            <wp:docPr id="5" name="图片 5" descr="d3ab25ec5d1a31a5cb095b493ed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3ab25ec5d1a31a5cb095b493ed2370"/>
                    <pic:cNvPicPr>
                      <a:picLocks noChangeAspect="1"/>
                    </pic:cNvPicPr>
                  </pic:nvPicPr>
                  <pic:blipFill>
                    <a:blip r:embed="rId7"/>
                    <a:srcRect b="17905"/>
                    <a:stretch>
                      <a:fillRect/>
                    </a:stretch>
                  </pic:blipFill>
                  <pic:spPr>
                    <a:xfrm>
                      <a:off x="0" y="0"/>
                      <a:ext cx="2485390" cy="362775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1285240" cy="2185035"/>
            <wp:effectExtent l="0" t="0" r="10160" b="9525"/>
            <wp:docPr id="6" name="图片 6" descr="18feb8dd8e3d9eb38e8a786d1d8c6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8feb8dd8e3d9eb38e8a786d1d8c6e5"/>
                    <pic:cNvPicPr>
                      <a:picLocks noChangeAspect="1"/>
                    </pic:cNvPicPr>
                  </pic:nvPicPr>
                  <pic:blipFill>
                    <a:blip r:embed="rId8"/>
                    <a:stretch>
                      <a:fillRect/>
                    </a:stretch>
                  </pic:blipFill>
                  <pic:spPr>
                    <a:xfrm>
                      <a:off x="0" y="0"/>
                      <a:ext cx="1285240" cy="218503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1245235" cy="2028825"/>
            <wp:effectExtent l="0" t="0" r="4445" b="13335"/>
            <wp:docPr id="7" name="图片 7" descr="d2f61b70369db7da6a760670e237b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f61b70369db7da6a760670e237b57"/>
                    <pic:cNvPicPr>
                      <a:picLocks noChangeAspect="1"/>
                    </pic:cNvPicPr>
                  </pic:nvPicPr>
                  <pic:blipFill>
                    <a:blip r:embed="rId9"/>
                    <a:srcRect t="4295" b="4092"/>
                    <a:stretch>
                      <a:fillRect/>
                    </a:stretch>
                  </pic:blipFill>
                  <pic:spPr>
                    <a:xfrm>
                      <a:off x="0" y="0"/>
                      <a:ext cx="1245235" cy="2028825"/>
                    </a:xfrm>
                    <a:prstGeom prst="rect">
                      <a:avLst/>
                    </a:prstGeom>
                  </pic:spPr>
                </pic:pic>
              </a:graphicData>
            </a:graphic>
          </wp:inline>
        </w:drawing>
      </w:r>
      <w:r>
        <w:rPr>
          <w:rFonts w:hint="eastAsia" w:ascii="宋体"/>
          <w:color w:val="auto"/>
          <w:kern w:val="0"/>
          <w:sz w:val="28"/>
          <w:szCs w:val="20"/>
          <w:lang w:val="en-US" w:eastAsia="zh-CN"/>
        </w:rPr>
        <w:t>站</w:t>
      </w:r>
      <w:r>
        <w:rPr>
          <w:rFonts w:hint="default" w:ascii="宋体"/>
          <w:color w:val="auto"/>
          <w:kern w:val="0"/>
          <w:sz w:val="28"/>
          <w:szCs w:val="20"/>
          <w:lang w:val="en-US" w:eastAsia="zh-CN"/>
        </w:rPr>
        <w:drawing>
          <wp:inline distT="0" distB="0" distL="114300" distR="114300">
            <wp:extent cx="1277620" cy="2271395"/>
            <wp:effectExtent l="0" t="0" r="2540" b="14605"/>
            <wp:docPr id="8" name="图片 8" descr="d651fbb84e91a9c95703745307ecd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651fbb84e91a9c95703745307ecdc7"/>
                    <pic:cNvPicPr>
                      <a:picLocks noChangeAspect="1"/>
                    </pic:cNvPicPr>
                  </pic:nvPicPr>
                  <pic:blipFill>
                    <a:blip r:embed="rId10"/>
                    <a:stretch>
                      <a:fillRect/>
                    </a:stretch>
                  </pic:blipFill>
                  <pic:spPr>
                    <a:xfrm>
                      <a:off x="0" y="0"/>
                      <a:ext cx="1277620" cy="2271395"/>
                    </a:xfrm>
                    <a:prstGeom prst="rect">
                      <a:avLst/>
                    </a:prstGeom>
                  </pic:spPr>
                </pic:pic>
              </a:graphicData>
            </a:graphic>
          </wp:inline>
        </w:drawing>
      </w:r>
      <w:bookmarkStart w:id="49" w:name="_GoBack"/>
      <w:bookmarkEnd w:id="49"/>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4A3564"/>
    <w:rsid w:val="03CC63D7"/>
    <w:rsid w:val="04C3537C"/>
    <w:rsid w:val="04F76473"/>
    <w:rsid w:val="070B6B66"/>
    <w:rsid w:val="07A11E1A"/>
    <w:rsid w:val="09D5345C"/>
    <w:rsid w:val="0A1C5EDC"/>
    <w:rsid w:val="0A27015B"/>
    <w:rsid w:val="0A5D5908"/>
    <w:rsid w:val="0BD51C61"/>
    <w:rsid w:val="0EDC1223"/>
    <w:rsid w:val="11C52D46"/>
    <w:rsid w:val="12386C7D"/>
    <w:rsid w:val="13D12EE6"/>
    <w:rsid w:val="153C4810"/>
    <w:rsid w:val="16BC1C2B"/>
    <w:rsid w:val="1C4A2E55"/>
    <w:rsid w:val="1DE92E23"/>
    <w:rsid w:val="1DF0665E"/>
    <w:rsid w:val="1E1E483E"/>
    <w:rsid w:val="1FF73CD4"/>
    <w:rsid w:val="22CB7136"/>
    <w:rsid w:val="284F788D"/>
    <w:rsid w:val="286D547B"/>
    <w:rsid w:val="2A9D36CA"/>
    <w:rsid w:val="2E5E68CC"/>
    <w:rsid w:val="2EC41433"/>
    <w:rsid w:val="2F917EEC"/>
    <w:rsid w:val="31297B3A"/>
    <w:rsid w:val="31E16592"/>
    <w:rsid w:val="328E48F3"/>
    <w:rsid w:val="32FC18D5"/>
    <w:rsid w:val="355F439E"/>
    <w:rsid w:val="35CC29B8"/>
    <w:rsid w:val="361E3E5D"/>
    <w:rsid w:val="363C648D"/>
    <w:rsid w:val="37A6654A"/>
    <w:rsid w:val="38B36882"/>
    <w:rsid w:val="3BB85D78"/>
    <w:rsid w:val="3C176B62"/>
    <w:rsid w:val="3F054910"/>
    <w:rsid w:val="420C1409"/>
    <w:rsid w:val="43CB4C37"/>
    <w:rsid w:val="4706325F"/>
    <w:rsid w:val="47290367"/>
    <w:rsid w:val="48FE4AE5"/>
    <w:rsid w:val="49AE5076"/>
    <w:rsid w:val="4ECC7680"/>
    <w:rsid w:val="4F5D6EDB"/>
    <w:rsid w:val="537F016A"/>
    <w:rsid w:val="53B92A73"/>
    <w:rsid w:val="563D798B"/>
    <w:rsid w:val="567C6788"/>
    <w:rsid w:val="579A241E"/>
    <w:rsid w:val="58840D76"/>
    <w:rsid w:val="5C8B1D2D"/>
    <w:rsid w:val="5D511379"/>
    <w:rsid w:val="60FB542C"/>
    <w:rsid w:val="612C2AD6"/>
    <w:rsid w:val="636808F8"/>
    <w:rsid w:val="64FD4259"/>
    <w:rsid w:val="6A640607"/>
    <w:rsid w:val="6AD40467"/>
    <w:rsid w:val="6B3179BA"/>
    <w:rsid w:val="6BF95CAB"/>
    <w:rsid w:val="6C4D48B3"/>
    <w:rsid w:val="6D0669CA"/>
    <w:rsid w:val="6FDF53A7"/>
    <w:rsid w:val="717A11AE"/>
    <w:rsid w:val="72FD2CFB"/>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2847</Words>
  <Characters>3104</Characters>
  <Lines>0</Lines>
  <Paragraphs>0</Paragraphs>
  <TotalTime>2</TotalTime>
  <ScaleCrop>false</ScaleCrop>
  <LinksUpToDate>false</LinksUpToDate>
  <CharactersWithSpaces>3120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2025-04-07T02:37:02Z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4C83143BB0FA4B15A356F993FFC1B941_13</vt:lpwstr>
  </property>
  <property fmtid="{D5CDD505-2E9C-101B-9397-08002B2CF9AE}" pid="4" name="KSOTemplateDocerSaveRecord">
    <vt:lpwstr>eyJoZGlkIjoiZjE3OTA5MjhjYzFkNzA1MTExN2Y4Y2VmYWI1OTZiZjUiLCJ1c2VySWQiOiI0NDUyNjk3NzEifQ==</vt:lpwstr>
  </property>
</Properties>
</file>