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w:t>
            </w:r>
            <w:r>
              <w:rPr>
                <w:rFonts w:hint="eastAsia"/>
                <w:color w:val="000000"/>
                <w:szCs w:val="21"/>
                <w:lang w:val="en-US" w:eastAsia="zh-CN"/>
              </w:rPr>
              <w:t>泰安第二十二</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该加油站现有埋地双层储油罐4台，</w:t>
            </w:r>
            <w:r>
              <w:rPr>
                <w:color w:val="auto"/>
              </w:rPr>
              <w:t>1</w:t>
            </w:r>
            <w:r>
              <w:rPr>
                <w:rFonts w:hint="eastAsia"/>
                <w:color w:val="auto"/>
              </w:rPr>
              <w:t>台30m</w:t>
            </w:r>
            <w:r>
              <w:rPr>
                <w:rFonts w:hint="eastAsia"/>
                <w:color w:val="auto"/>
                <w:vertAlign w:val="superscript"/>
              </w:rPr>
              <w:t>3</w:t>
            </w:r>
            <w:r>
              <w:rPr>
                <w:rFonts w:hint="eastAsia"/>
                <w:color w:val="auto"/>
              </w:rPr>
              <w:t>92#汽油罐、</w:t>
            </w:r>
            <w:r>
              <w:rPr>
                <w:color w:val="auto"/>
              </w:rPr>
              <w:t>1</w:t>
            </w:r>
            <w:r>
              <w:rPr>
                <w:rFonts w:hint="eastAsia"/>
                <w:color w:val="auto"/>
              </w:rPr>
              <w:t>台30m</w:t>
            </w:r>
            <w:r>
              <w:rPr>
                <w:rFonts w:hint="eastAsia"/>
                <w:color w:val="auto"/>
                <w:vertAlign w:val="superscript"/>
              </w:rPr>
              <w:t>3</w:t>
            </w:r>
            <w:r>
              <w:rPr>
                <w:rFonts w:hint="eastAsia"/>
                <w:color w:val="auto"/>
              </w:rPr>
              <w:t>95#汽油罐、</w:t>
            </w:r>
            <w:r>
              <w:rPr>
                <w:color w:val="auto"/>
              </w:rPr>
              <w:t>1</w:t>
            </w:r>
            <w:r>
              <w:rPr>
                <w:rFonts w:hint="eastAsia"/>
                <w:color w:val="auto"/>
              </w:rPr>
              <w:t>台30m</w:t>
            </w:r>
            <w:r>
              <w:rPr>
                <w:rFonts w:hint="eastAsia"/>
                <w:color w:val="auto"/>
                <w:vertAlign w:val="superscript"/>
              </w:rPr>
              <w:t>3</w:t>
            </w:r>
            <w:r>
              <w:rPr>
                <w:rFonts w:hint="eastAsia"/>
                <w:color w:val="auto"/>
              </w:rPr>
              <w:t>98#汽油罐、1台30m</w:t>
            </w:r>
            <w:r>
              <w:rPr>
                <w:rFonts w:hint="eastAsia"/>
                <w:color w:val="auto"/>
                <w:vertAlign w:val="superscript"/>
              </w:rPr>
              <w:t>3</w:t>
            </w:r>
            <w:r>
              <w:rPr>
                <w:rFonts w:hint="eastAsia"/>
                <w:color w:val="auto"/>
              </w:rPr>
              <w:t>柴油罐</w:t>
            </w:r>
            <w:r>
              <w:rPr>
                <w:rFonts w:hint="eastAsia"/>
                <w:color w:val="auto"/>
                <w:lang w:eastAsia="zh-CN"/>
              </w:rPr>
              <w:t>，</w:t>
            </w:r>
            <w:r>
              <w:rPr>
                <w:rFonts w:hint="eastAsia"/>
                <w:color w:val="auto"/>
                <w:lang w:val="en-US" w:eastAsia="zh-CN"/>
              </w:rPr>
              <w:t>油气回收处理装置</w:t>
            </w:r>
            <w:r>
              <w:rPr>
                <w:rFonts w:hint="eastAsia"/>
                <w:color w:val="auto"/>
                <w:highlight w:val="none"/>
                <w:lang w:eastAsia="zh-CN"/>
              </w:rPr>
              <w:t>。</w:t>
            </w:r>
            <w:r>
              <w:rPr>
                <w:rFonts w:hint="eastAsia"/>
                <w:color w:val="auto"/>
                <w:lang w:val="en-US" w:eastAsia="zh-CN"/>
              </w:rPr>
              <w:t>加油站设置</w:t>
            </w:r>
            <w:r>
              <w:rPr>
                <w:color w:val="auto"/>
              </w:rPr>
              <w:t>设置罩棚一处，</w:t>
            </w:r>
            <w:r>
              <w:rPr>
                <w:rFonts w:hint="eastAsia"/>
                <w:color w:val="auto"/>
              </w:rPr>
              <w:t>罩棚下设置8台单枪加油机（1台98#汽油加油机、2台95#汽油加油机、3台92#汽油加油机、2台柴油加油机）</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2024.11.13</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2024.11.16</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安全评价报告提交时间：2024.12.9</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4C7F0962">
      <w:pPr>
        <w:pStyle w:val="18"/>
        <w:spacing w:before="312" w:after="312"/>
        <w:rPr>
          <w:color w:val="auto"/>
        </w:rPr>
      </w:pPr>
      <w:bookmarkStart w:id="0" w:name="_Toc102634395"/>
      <w:bookmarkStart w:id="1" w:name="_Toc15033742"/>
      <w:bookmarkStart w:id="2" w:name="_Toc102633895"/>
      <w:bookmarkStart w:id="3" w:name="_Toc8295"/>
      <w:bookmarkStart w:id="4" w:name="_Toc102633969"/>
      <w:bookmarkStart w:id="5" w:name="_Toc102634226"/>
      <w:bookmarkStart w:id="6" w:name="_Toc1454"/>
      <w:bookmarkStart w:id="7" w:name="_Toc102634406"/>
      <w:bookmarkStart w:id="8" w:name="_Toc102633980"/>
      <w:bookmarkStart w:id="9" w:name="_Toc102633906"/>
      <w:bookmarkStart w:id="10" w:name="_Toc102634255"/>
      <w:r>
        <w:rPr>
          <w:rFonts w:hint="eastAsia"/>
          <w:color w:val="auto"/>
        </w:rPr>
        <w:t>第二章 加油站概况</w:t>
      </w:r>
      <w:bookmarkEnd w:id="0"/>
      <w:bookmarkEnd w:id="1"/>
      <w:bookmarkEnd w:id="2"/>
      <w:bookmarkEnd w:id="3"/>
      <w:bookmarkEnd w:id="4"/>
      <w:bookmarkEnd w:id="5"/>
    </w:p>
    <w:p w14:paraId="4097C872">
      <w:pPr>
        <w:pStyle w:val="4"/>
        <w:spacing w:before="312" w:beforeLines="100" w:after="312" w:afterLines="100" w:line="360" w:lineRule="auto"/>
        <w:ind w:firstLine="0"/>
        <w:rPr>
          <w:color w:val="auto"/>
        </w:rPr>
      </w:pPr>
      <w:bookmarkStart w:id="11" w:name="_Toc272364524"/>
      <w:bookmarkStart w:id="12" w:name="_Toc30066"/>
      <w:bookmarkStart w:id="13" w:name="_Toc102633970"/>
      <w:bookmarkStart w:id="14" w:name="_Toc102634227"/>
      <w:bookmarkStart w:id="15" w:name="_Toc26504"/>
      <w:bookmarkStart w:id="16" w:name="_Toc13779"/>
      <w:bookmarkStart w:id="17" w:name="_Toc208733856"/>
      <w:bookmarkStart w:id="18" w:name="_Toc15033743"/>
      <w:bookmarkStart w:id="19" w:name="_Toc102633896"/>
      <w:bookmarkStart w:id="20" w:name="_Toc102634396"/>
      <w:r>
        <w:rPr>
          <w:rFonts w:hint="eastAsia"/>
          <w:color w:val="auto"/>
        </w:rPr>
        <w:t>第一节 加油站基本情况</w:t>
      </w:r>
      <w:bookmarkEnd w:id="11"/>
      <w:bookmarkEnd w:id="12"/>
      <w:bookmarkEnd w:id="13"/>
      <w:bookmarkEnd w:id="14"/>
      <w:bookmarkEnd w:id="15"/>
      <w:bookmarkEnd w:id="16"/>
      <w:bookmarkEnd w:id="17"/>
      <w:bookmarkEnd w:id="18"/>
      <w:bookmarkEnd w:id="19"/>
      <w:bookmarkEnd w:id="20"/>
    </w:p>
    <w:p w14:paraId="19F1A112">
      <w:pPr>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中国石化山东泰山石油股份有限公司泰安第二十二加油站位于</w:t>
      </w:r>
      <w:r>
        <w:rPr>
          <w:rFonts w:hint="eastAsia" w:ascii="宋体" w:hAnsi="宋体"/>
          <w:color w:val="auto"/>
          <w:sz w:val="28"/>
        </w:rPr>
        <w:t>泰安市岱岳区粥店办事处上旺村泰东路与104国道交汇三角路口处，</w:t>
      </w:r>
      <w:r>
        <w:rPr>
          <w:rFonts w:hint="eastAsia" w:ascii="宋体" w:hAnsi="宋体" w:cs="宋体"/>
          <w:color w:val="auto"/>
          <w:sz w:val="28"/>
          <w:szCs w:val="28"/>
        </w:rPr>
        <w:t>加油站北侧是天平湖路，东侧是天平湖路和泮河大街交汇处，西侧是空地，南侧是泮河大街。</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rPr>
        <w:t>汽油、乙醇汽油</w:t>
      </w:r>
      <w:r>
        <w:rPr>
          <w:rFonts w:hint="eastAsia" w:ascii="宋体" w:hAnsi="宋体"/>
          <w:color w:val="auto"/>
          <w:sz w:val="28"/>
        </w:rPr>
        <w:t>、柴油，现其主要经营储存汽油、0#柴油（换季销售-</w:t>
      </w:r>
      <w:r>
        <w:rPr>
          <w:rFonts w:ascii="宋体" w:hAnsi="宋体"/>
          <w:color w:val="auto"/>
          <w:sz w:val="28"/>
        </w:rPr>
        <w:t>10#</w:t>
      </w:r>
      <w:r>
        <w:rPr>
          <w:rFonts w:hint="eastAsia" w:ascii="宋体" w:hAnsi="宋体"/>
          <w:color w:val="auto"/>
          <w:sz w:val="28"/>
        </w:rPr>
        <w:t>柴油）、乙醇汽油（暂未储存）</w:t>
      </w:r>
      <w:r>
        <w:rPr>
          <w:rFonts w:hint="eastAsia" w:ascii="宋体" w:hAnsi="宋体"/>
          <w:snapToGrid w:val="0"/>
          <w:color w:val="auto"/>
          <w:kern w:val="0"/>
          <w:sz w:val="28"/>
        </w:rPr>
        <w:t>。</w:t>
      </w:r>
      <w:r>
        <w:rPr>
          <w:rFonts w:hint="eastAsia" w:ascii="宋体" w:hAnsi="宋体"/>
          <w:color w:val="auto"/>
          <w:sz w:val="28"/>
        </w:rPr>
        <w:t>此次现状评价报告与三年前报告相比，增加4套可燃气体探测器，其余周边环境、站内设备设施、主要建构筑物未发生变化。</w:t>
      </w:r>
    </w:p>
    <w:p w14:paraId="65BCF957">
      <w:pPr>
        <w:pStyle w:val="17"/>
        <w:widowControl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该加油站主要建有站房、罩棚、油罐区、加油区、洗车区等。加油区在站房东侧，</w:t>
      </w:r>
      <w:r>
        <w:rPr>
          <w:rFonts w:hint="eastAsia" w:ascii="宋体" w:hAnsi="宋体"/>
          <w:color w:val="auto"/>
          <w:kern w:val="2"/>
          <w:szCs w:val="21"/>
        </w:rPr>
        <w:t>现有8台单枪加油机</w:t>
      </w:r>
      <w:r>
        <w:rPr>
          <w:rFonts w:hint="eastAsia"/>
          <w:color w:val="auto"/>
        </w:rPr>
        <w:t>（1台98#汽油加油机、2台95#汽油加油机、3台92#汽油加油机、2台柴油加油机）</w:t>
      </w:r>
      <w:r>
        <w:rPr>
          <w:rFonts w:hint="eastAsia" w:ascii="宋体" w:hAnsi="宋体"/>
          <w:color w:val="auto"/>
          <w:kern w:val="2"/>
          <w:szCs w:val="21"/>
        </w:rPr>
        <w:t>，均为自吸式</w:t>
      </w:r>
      <w:r>
        <w:rPr>
          <w:rFonts w:hint="eastAsia" w:ascii="宋体"/>
          <w:color w:val="auto"/>
        </w:rPr>
        <w:t>；</w:t>
      </w:r>
      <w:r>
        <w:rPr>
          <w:rFonts w:hint="eastAsia" w:ascii="宋体" w:hAnsi="宋体"/>
          <w:color w:val="auto"/>
          <w:szCs w:val="28"/>
        </w:rPr>
        <w:t>油罐区位于站房北侧，</w:t>
      </w:r>
      <w:r>
        <w:rPr>
          <w:rFonts w:hint="eastAsia" w:ascii="宋体"/>
          <w:color w:val="auto"/>
        </w:rPr>
        <w:t>现有4台30m³埋地双层储罐（1台92#汽油罐、1台95#汽油罐、1台98#汽油罐、1台柴油罐），</w:t>
      </w:r>
      <w:r>
        <w:rPr>
          <w:rFonts w:hint="eastAsia" w:ascii="宋体" w:hAnsi="宋体"/>
          <w:color w:val="auto"/>
          <w:szCs w:val="28"/>
        </w:rPr>
        <w:t>4台油罐均安装了液位仪、检漏仪</w:t>
      </w:r>
      <w:r>
        <w:rPr>
          <w:rFonts w:hint="eastAsia" w:ascii="宋体"/>
          <w:color w:val="auto"/>
        </w:rPr>
        <w:t>；汽油、柴油卸油口位于罐区东侧；</w:t>
      </w:r>
      <w:r>
        <w:rPr>
          <w:rFonts w:hint="eastAsia" w:ascii="宋体" w:hAnsi="宋体"/>
          <w:color w:val="auto"/>
          <w:szCs w:val="28"/>
        </w:rPr>
        <w:t>通气管4根位于罐区西侧，该站设有卸油油气回收系统、加油油气回收系统、油气回收处理系统；</w:t>
      </w:r>
      <w:r>
        <w:rPr>
          <w:rFonts w:hint="eastAsia" w:ascii="宋体"/>
          <w:color w:val="auto"/>
        </w:rPr>
        <w:t>按《汽车加油加气加氢站技术标准》GB50156-2021标准规定：油罐总储量为120m³，柴油储罐容积折半计入总容积为105m³，该站属二级加油站。</w:t>
      </w:r>
    </w:p>
    <w:p w14:paraId="1DB67B97">
      <w:pPr>
        <w:pStyle w:val="19"/>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289AF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CB0026E">
            <w:pPr>
              <w:pStyle w:val="20"/>
              <w:widowControl w:val="0"/>
              <w:adjustRightInd w:val="0"/>
              <w:snapToGrid w:val="0"/>
              <w:spacing w:line="360" w:lineRule="auto"/>
              <w:rPr>
                <w:rFonts w:hint="eastAsia"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075A271B">
            <w:pPr>
              <w:pStyle w:val="20"/>
              <w:widowControl w:val="0"/>
              <w:adjustRightInd w:val="0"/>
              <w:snapToGrid w:val="0"/>
              <w:spacing w:line="360" w:lineRule="auto"/>
              <w:rPr>
                <w:rFonts w:hint="eastAsia"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1B2A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5BB8B191">
            <w:pPr>
              <w:pStyle w:val="20"/>
              <w:widowControl w:val="0"/>
              <w:adjustRightInd w:val="0"/>
              <w:snapToGrid w:val="0"/>
              <w:spacing w:line="360" w:lineRule="auto"/>
              <w:rPr>
                <w:rFonts w:hint="eastAsia" w:ascii="宋体" w:hAnsi="宋体"/>
                <w:b/>
                <w:bCs/>
                <w:color w:val="auto"/>
              </w:rPr>
            </w:pPr>
          </w:p>
        </w:tc>
        <w:tc>
          <w:tcPr>
            <w:tcW w:w="1667" w:type="pct"/>
            <w:vAlign w:val="center"/>
          </w:tcPr>
          <w:p w14:paraId="5780F572">
            <w:pPr>
              <w:pStyle w:val="20"/>
              <w:widowControl w:val="0"/>
              <w:adjustRightInd w:val="0"/>
              <w:snapToGrid w:val="0"/>
              <w:spacing w:line="360" w:lineRule="auto"/>
              <w:rPr>
                <w:rFonts w:hint="eastAsia"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0954F43A">
            <w:pPr>
              <w:pStyle w:val="20"/>
              <w:widowControl w:val="0"/>
              <w:adjustRightInd w:val="0"/>
              <w:snapToGrid w:val="0"/>
              <w:spacing w:line="360" w:lineRule="auto"/>
              <w:rPr>
                <w:rFonts w:hint="eastAsia" w:ascii="宋体" w:hAnsi="宋体"/>
                <w:b/>
                <w:bCs/>
                <w:color w:val="auto"/>
              </w:rPr>
            </w:pPr>
            <w:r>
              <w:rPr>
                <w:rFonts w:ascii="宋体" w:hAnsi="宋体"/>
                <w:b/>
                <w:bCs/>
                <w:color w:val="auto"/>
              </w:rPr>
              <w:t>单罐容积</w:t>
            </w:r>
          </w:p>
        </w:tc>
      </w:tr>
      <w:tr w14:paraId="2BC7F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8F8191D">
            <w:pPr>
              <w:pStyle w:val="20"/>
              <w:widowControl w:val="0"/>
              <w:adjustRightInd w:val="0"/>
              <w:snapToGrid w:val="0"/>
              <w:spacing w:line="360" w:lineRule="auto"/>
              <w:rPr>
                <w:rFonts w:hint="eastAsia" w:ascii="宋体" w:hAnsi="宋体"/>
                <w:color w:val="auto"/>
              </w:rPr>
            </w:pPr>
            <w:r>
              <w:rPr>
                <w:rFonts w:ascii="宋体" w:hAnsi="宋体"/>
                <w:color w:val="auto"/>
              </w:rPr>
              <w:t>一级</w:t>
            </w:r>
          </w:p>
        </w:tc>
        <w:tc>
          <w:tcPr>
            <w:tcW w:w="1667" w:type="pct"/>
            <w:vAlign w:val="center"/>
          </w:tcPr>
          <w:p w14:paraId="20E84F9E">
            <w:pPr>
              <w:pStyle w:val="20"/>
              <w:widowControl w:val="0"/>
              <w:adjustRightInd w:val="0"/>
              <w:snapToGrid w:val="0"/>
              <w:spacing w:line="360" w:lineRule="auto"/>
              <w:rPr>
                <w:rFonts w:hint="eastAsia"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0B433153">
            <w:pPr>
              <w:pStyle w:val="20"/>
              <w:widowControl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144A9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16416C8">
            <w:pPr>
              <w:pStyle w:val="20"/>
              <w:widowControl w:val="0"/>
              <w:adjustRightInd w:val="0"/>
              <w:snapToGrid w:val="0"/>
              <w:spacing w:line="360" w:lineRule="auto"/>
              <w:rPr>
                <w:rFonts w:hint="eastAsia" w:ascii="宋体" w:hAnsi="宋体"/>
                <w:color w:val="auto"/>
              </w:rPr>
            </w:pPr>
            <w:r>
              <w:rPr>
                <w:rFonts w:ascii="宋体" w:hAnsi="宋体"/>
                <w:color w:val="auto"/>
              </w:rPr>
              <w:t>二级</w:t>
            </w:r>
          </w:p>
        </w:tc>
        <w:tc>
          <w:tcPr>
            <w:tcW w:w="1667" w:type="pct"/>
            <w:vAlign w:val="center"/>
          </w:tcPr>
          <w:p w14:paraId="67CABEA9">
            <w:pPr>
              <w:pStyle w:val="20"/>
              <w:widowControl w:val="0"/>
              <w:adjustRightInd w:val="0"/>
              <w:snapToGrid w:val="0"/>
              <w:spacing w:line="360" w:lineRule="auto"/>
              <w:rPr>
                <w:rFonts w:hint="eastAsia"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68014896">
            <w:pPr>
              <w:pStyle w:val="20"/>
              <w:widowControl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30B8E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BC0F5D3">
            <w:pPr>
              <w:pStyle w:val="20"/>
              <w:widowControl w:val="0"/>
              <w:adjustRightInd w:val="0"/>
              <w:snapToGrid w:val="0"/>
              <w:spacing w:line="360" w:lineRule="auto"/>
              <w:rPr>
                <w:rFonts w:hint="eastAsia" w:ascii="宋体" w:hAnsi="宋体"/>
                <w:color w:val="auto"/>
              </w:rPr>
            </w:pPr>
            <w:r>
              <w:rPr>
                <w:rFonts w:ascii="宋体" w:hAnsi="宋体"/>
                <w:color w:val="auto"/>
              </w:rPr>
              <w:t>三级</w:t>
            </w:r>
          </w:p>
        </w:tc>
        <w:tc>
          <w:tcPr>
            <w:tcW w:w="1667" w:type="pct"/>
            <w:vAlign w:val="center"/>
          </w:tcPr>
          <w:p w14:paraId="04A36590">
            <w:pPr>
              <w:pStyle w:val="20"/>
              <w:widowControl w:val="0"/>
              <w:adjustRightInd w:val="0"/>
              <w:snapToGrid w:val="0"/>
              <w:spacing w:line="360" w:lineRule="auto"/>
              <w:rPr>
                <w:rFonts w:hint="eastAsia"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0B7C0AD9">
            <w:pPr>
              <w:pStyle w:val="20"/>
              <w:widowControl w:val="0"/>
              <w:adjustRightInd w:val="0"/>
              <w:snapToGrid w:val="0"/>
              <w:spacing w:line="360" w:lineRule="auto"/>
              <w:rPr>
                <w:rFonts w:hint="eastAsia"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41D7B520">
      <w:pPr>
        <w:pStyle w:val="21"/>
        <w:widowControl w:val="0"/>
        <w:adjustRightInd w:val="0"/>
        <w:snapToGrid w:val="0"/>
        <w:spacing w:line="360" w:lineRule="auto"/>
        <w:ind w:firstLine="436"/>
        <w:rPr>
          <w:rFonts w:hint="eastAsia" w:ascii="黑体" w:hAnsi="黑体" w:cs="黑体"/>
          <w:color w:val="auto"/>
        </w:rPr>
      </w:pPr>
      <w:r>
        <w:rPr>
          <w:rFonts w:hint="eastAsia" w:ascii="黑体" w:hAnsi="黑体" w:cs="黑体"/>
          <w:color w:val="auto"/>
        </w:rPr>
        <w:t>注：V为油罐总容积。柴油罐容积可折半计入油罐总容积。</w:t>
      </w:r>
    </w:p>
    <w:p w14:paraId="0B4C686A">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该站现有职工7人，其中主要负责人1人，安全生产管理员1人。主要负责人和安全生产管理人员已参加了危险化学品安全管理培训，并取得考核合格证，详见附页。</w:t>
      </w:r>
    </w:p>
    <w:p w14:paraId="0D4E718B">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中国石化山东泰山石油股份有限公司于1999年5月24日与李学臣签署了《土地租赁合同》，2012年7月20日签署了《租赁补充合同》，合同期限至2026年12月31日详见附件。</w:t>
      </w:r>
    </w:p>
    <w:p w14:paraId="15669C78">
      <w:pPr>
        <w:pStyle w:val="6"/>
        <w:adjustRightInd w:val="0"/>
        <w:snapToGrid w:val="0"/>
        <w:spacing w:line="360" w:lineRule="auto"/>
        <w:ind w:firstLine="560"/>
        <w:rPr>
          <w:rFonts w:ascii="宋体"/>
          <w:color w:val="auto"/>
        </w:rPr>
      </w:pPr>
      <w:r>
        <w:rPr>
          <w:rFonts w:hint="eastAsia" w:ascii="宋体"/>
          <w:color w:val="auto"/>
        </w:rPr>
        <w:t>加油站于2002年7月29日取得了泰安市公安消防分局</w:t>
      </w:r>
      <w:r>
        <w:rPr>
          <w:rFonts w:hint="eastAsia" w:ascii="宋体"/>
          <w:color w:val="auto"/>
          <w:lang w:val="en-US" w:eastAsia="zh-CN"/>
        </w:rPr>
        <w:t>出具</w:t>
      </w:r>
      <w:r>
        <w:rPr>
          <w:rFonts w:hint="eastAsia" w:ascii="宋体"/>
          <w:color w:val="auto"/>
        </w:rPr>
        <w:t>的《建筑工程消防验收意见书》，证书编号：泰公消验第020112号，详见附件。</w:t>
      </w:r>
    </w:p>
    <w:p w14:paraId="1C8D5933">
      <w:pPr>
        <w:pStyle w:val="17"/>
        <w:widowControl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21</w:t>
      </w:r>
      <w:r>
        <w:rPr>
          <w:rFonts w:ascii="宋体"/>
          <w:color w:val="auto"/>
        </w:rPr>
        <w:t>年</w:t>
      </w:r>
      <w:r>
        <w:rPr>
          <w:rFonts w:hint="eastAsia" w:ascii="宋体"/>
          <w:color w:val="auto"/>
        </w:rPr>
        <w:t>12</w:t>
      </w:r>
      <w:r>
        <w:rPr>
          <w:rFonts w:ascii="宋体"/>
          <w:color w:val="auto"/>
        </w:rPr>
        <w:t>月</w:t>
      </w:r>
      <w:r>
        <w:rPr>
          <w:rFonts w:hint="eastAsia" w:ascii="宋体"/>
          <w:color w:val="auto"/>
        </w:rPr>
        <w:t>15</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鲁油零售证书第3709031007</w:t>
      </w:r>
      <w:r>
        <w:rPr>
          <w:rFonts w:ascii="宋体"/>
          <w:color w:val="auto"/>
        </w:rPr>
        <w:t>号</w:t>
      </w:r>
      <w:r>
        <w:rPr>
          <w:rFonts w:hint="eastAsia" w:ascii="宋体"/>
          <w:color w:val="auto"/>
        </w:rPr>
        <w:t>，证书有效期至2026年12月15日，证书见附件</w:t>
      </w:r>
      <w:r>
        <w:rPr>
          <w:rFonts w:ascii="宋体"/>
          <w:color w:val="auto"/>
        </w:rPr>
        <w:t>。</w:t>
      </w:r>
    </w:p>
    <w:p w14:paraId="75A3B671">
      <w:pPr>
        <w:pStyle w:val="17"/>
        <w:widowControl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22年1月25日换发了《危险化学品经营许可证》，证书编号：鲁泰危化经[2022]000122号，证书有效期至2025年2月12日，证书见附件。</w:t>
      </w:r>
    </w:p>
    <w:p w14:paraId="249B00BE">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该站编制了生产安全事故应急预案，于202</w:t>
      </w:r>
      <w:r>
        <w:rPr>
          <w:rFonts w:hint="eastAsia" w:ascii="宋体" w:hAnsi="宋体"/>
          <w:color w:val="auto"/>
          <w:sz w:val="28"/>
          <w:lang w:val="en-US" w:eastAsia="zh-CN"/>
        </w:rPr>
        <w:t>4</w:t>
      </w:r>
      <w:r>
        <w:rPr>
          <w:rFonts w:hint="eastAsia" w:ascii="宋体" w:hAnsi="宋体"/>
          <w:color w:val="auto"/>
          <w:sz w:val="28"/>
        </w:rPr>
        <w:t>年</w:t>
      </w:r>
      <w:r>
        <w:rPr>
          <w:rFonts w:hint="eastAsia" w:ascii="宋体" w:hAnsi="宋体"/>
          <w:color w:val="auto"/>
          <w:sz w:val="28"/>
          <w:lang w:val="en-US" w:eastAsia="zh-CN"/>
        </w:rPr>
        <w:t>10</w:t>
      </w:r>
      <w:r>
        <w:rPr>
          <w:rFonts w:hint="eastAsia" w:ascii="宋体" w:hAnsi="宋体"/>
          <w:color w:val="auto"/>
          <w:sz w:val="28"/>
        </w:rPr>
        <w:t>月</w:t>
      </w:r>
      <w:r>
        <w:rPr>
          <w:rFonts w:hint="eastAsia" w:ascii="宋体" w:hAnsi="宋体"/>
          <w:color w:val="auto"/>
          <w:sz w:val="28"/>
          <w:lang w:val="en-US" w:eastAsia="zh-CN"/>
        </w:rPr>
        <w:t>22</w:t>
      </w:r>
      <w:r>
        <w:rPr>
          <w:rFonts w:hint="eastAsia" w:ascii="宋体" w:hAnsi="宋体"/>
          <w:color w:val="auto"/>
          <w:sz w:val="28"/>
        </w:rPr>
        <w:t>日在泰安市应急管理局进行了备案，备案编号为：370900-202</w:t>
      </w:r>
      <w:r>
        <w:rPr>
          <w:rFonts w:hint="eastAsia" w:ascii="宋体" w:hAnsi="宋体"/>
          <w:color w:val="auto"/>
          <w:sz w:val="28"/>
          <w:lang w:val="en-US" w:eastAsia="zh-CN"/>
        </w:rPr>
        <w:t>4</w:t>
      </w:r>
      <w:r>
        <w:rPr>
          <w:rFonts w:hint="eastAsia" w:ascii="宋体" w:hAnsi="宋体"/>
          <w:color w:val="auto"/>
          <w:sz w:val="28"/>
        </w:rPr>
        <w:t>-00</w:t>
      </w:r>
      <w:r>
        <w:rPr>
          <w:rFonts w:hint="eastAsia" w:ascii="宋体" w:hAnsi="宋体"/>
          <w:color w:val="auto"/>
          <w:sz w:val="28"/>
          <w:lang w:val="en-US" w:eastAsia="zh-CN"/>
        </w:rPr>
        <w:t>99</w:t>
      </w:r>
      <w:r>
        <w:rPr>
          <w:rFonts w:hint="eastAsia" w:ascii="宋体" w:hAnsi="宋体"/>
          <w:color w:val="auto"/>
          <w:sz w:val="28"/>
        </w:rPr>
        <w:t>，详见附件。</w:t>
      </w:r>
    </w:p>
    <w:p w14:paraId="69783DE1">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山东天科防雷工程有限公司对该站进行了相关防雷设施的检测，出具了合格的《雷电防护装置定期检测报告》，报告编号：（1122016001）[2024]TA-0</w:t>
      </w:r>
      <w:r>
        <w:rPr>
          <w:rFonts w:hint="eastAsia" w:ascii="宋体" w:hAnsi="宋体"/>
          <w:color w:val="auto"/>
          <w:sz w:val="28"/>
          <w:lang w:val="en-US" w:eastAsia="zh-CN"/>
        </w:rPr>
        <w:t>380</w:t>
      </w:r>
      <w:r>
        <w:rPr>
          <w:rFonts w:hint="eastAsia" w:ascii="宋体" w:hAnsi="宋体"/>
          <w:color w:val="auto"/>
          <w:sz w:val="28"/>
        </w:rPr>
        <w:t>号，防雷类别：二类，结论为“合格：加油站雷电防护装置符合现行国家防雷规范标准要求”，有效期至202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04</w:t>
      </w:r>
      <w:r>
        <w:rPr>
          <w:rFonts w:hint="eastAsia" w:ascii="宋体" w:hAnsi="宋体"/>
          <w:color w:val="auto"/>
          <w:sz w:val="28"/>
        </w:rPr>
        <w:t>月12日，检测报告见附件。</w:t>
      </w:r>
    </w:p>
    <w:p w14:paraId="44EADE2B">
      <w:pPr>
        <w:pStyle w:val="17"/>
        <w:widowControl w:val="0"/>
        <w:adjustRightInd w:val="0"/>
        <w:snapToGrid w:val="0"/>
        <w:spacing w:line="360" w:lineRule="auto"/>
        <w:ind w:firstLine="560"/>
        <w:rPr>
          <w:rFonts w:ascii="宋体"/>
          <w:color w:val="auto"/>
        </w:rPr>
      </w:pPr>
      <w:r>
        <w:rPr>
          <w:rFonts w:hint="eastAsia" w:ascii="宋体"/>
          <w:color w:val="auto"/>
        </w:rPr>
        <w:t>该站在中国人民财产保险股份有限公司济南市分公司投保安全生产责任保险，保险期限2024年06月23日至2025年06月22日，详见附件。</w:t>
      </w:r>
    </w:p>
    <w:p w14:paraId="0159F403">
      <w:pPr>
        <w:pStyle w:val="17"/>
        <w:widowControl w:val="0"/>
        <w:adjustRightInd w:val="0"/>
        <w:snapToGrid w:val="0"/>
        <w:spacing w:line="360" w:lineRule="auto"/>
        <w:ind w:firstLine="560"/>
        <w:rPr>
          <w:rFonts w:ascii="宋体"/>
          <w:color w:val="auto"/>
          <w:shd w:val="clear" w:color="auto" w:fill="FFC000"/>
        </w:rPr>
      </w:pPr>
      <w:r>
        <w:rPr>
          <w:rFonts w:hint="eastAsia" w:ascii="宋体"/>
          <w:color w:val="auto"/>
        </w:rPr>
        <w:t>济南本安科技发展有限公司对该站的可燃气体检测报警器进行了检验，出具了合格的《检验报告》，检验结论为：维护后检验合格。检验日期为2024年03月29日，有效期至2025年03月28日。</w:t>
      </w:r>
    </w:p>
    <w:p w14:paraId="72F2C924">
      <w:pPr>
        <w:pStyle w:val="17"/>
        <w:widowControl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671B50CE">
      <w:pPr>
        <w:pStyle w:val="17"/>
        <w:widowControl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该站各项安全管理制度健全，有生产经营单位生产事故应急预案，并定期进行应急救援演练。该加油站消防器材配备齐全，加油站配备了35kg推车式干粉灭火器2具，5kg手提式干粉灭火器16具，CO</w:t>
      </w:r>
      <w:r>
        <w:rPr>
          <w:rFonts w:hint="eastAsia" w:ascii="宋体"/>
          <w:color w:val="auto"/>
          <w:vertAlign w:val="subscript"/>
        </w:rPr>
        <w:t>2</w:t>
      </w:r>
      <w:r>
        <w:rPr>
          <w:rFonts w:hint="eastAsia" w:ascii="宋体"/>
          <w:color w:val="auto"/>
        </w:rPr>
        <w:t>灭火器4具，灭火毯7块，消防锨2把，消防桶2个，消防沙池2m</w:t>
      </w:r>
      <w:r>
        <w:rPr>
          <w:rFonts w:hint="eastAsia" w:ascii="宋体"/>
          <w:color w:val="auto"/>
          <w:vertAlign w:val="superscript"/>
        </w:rPr>
        <w:t>3</w:t>
      </w:r>
      <w:r>
        <w:rPr>
          <w:rFonts w:hint="eastAsia" w:ascii="宋体"/>
          <w:color w:val="auto"/>
        </w:rPr>
        <w:t>。</w:t>
      </w:r>
    </w:p>
    <w:p w14:paraId="6FFECC2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第四章 评价单元划分与评价方法选择</w:t>
      </w:r>
      <w:bookmarkEnd w:id="6"/>
      <w:bookmarkEnd w:id="7"/>
      <w:bookmarkEnd w:id="8"/>
      <w:bookmarkEnd w:id="9"/>
      <w:bookmarkEnd w:id="10"/>
    </w:p>
    <w:p w14:paraId="2746B56D">
      <w:pPr>
        <w:pStyle w:val="4"/>
        <w:spacing w:before="312" w:beforeLines="100" w:after="312" w:afterLines="100" w:line="360" w:lineRule="auto"/>
        <w:ind w:firstLine="0"/>
        <w:rPr>
          <w:rFonts w:hint="eastAsia"/>
          <w:color w:val="auto"/>
          <w:highlight w:val="none"/>
        </w:rPr>
      </w:pPr>
      <w:bookmarkStart w:id="21" w:name="_Toc102633907"/>
      <w:bookmarkStart w:id="22" w:name="_Toc102634407"/>
      <w:bookmarkStart w:id="23" w:name="_Toc7829"/>
      <w:bookmarkStart w:id="24" w:name="_Toc102634256"/>
      <w:bookmarkStart w:id="25" w:name="_Toc238007574"/>
      <w:bookmarkStart w:id="26" w:name="_Toc198026273"/>
      <w:bookmarkStart w:id="27" w:name="_Toc15033754"/>
      <w:bookmarkStart w:id="28" w:name="_Toc12643"/>
      <w:bookmarkStart w:id="29" w:name="_Toc192907201"/>
      <w:bookmarkStart w:id="30" w:name="_Toc23543"/>
      <w:bookmarkStart w:id="31" w:name="_Toc102633981"/>
      <w:bookmarkStart w:id="32" w:name="_Toc272364536"/>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27353523">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2"/>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62CFCC3E">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1DD01CD9">
      <w:pPr>
        <w:pStyle w:val="4"/>
        <w:spacing w:before="312" w:beforeLines="100" w:after="312" w:afterLines="100" w:line="360" w:lineRule="auto"/>
        <w:ind w:firstLine="0"/>
        <w:rPr>
          <w:rFonts w:hint="eastAsia"/>
          <w:color w:val="auto"/>
          <w:highlight w:val="none"/>
        </w:rPr>
      </w:pPr>
      <w:bookmarkStart w:id="35" w:name="_Toc102633908"/>
      <w:bookmarkStart w:id="36" w:name="_Toc102634259"/>
      <w:bookmarkStart w:id="37" w:name="_Toc22810"/>
      <w:bookmarkStart w:id="38" w:name="_Toc102634408"/>
      <w:bookmarkStart w:id="39" w:name="_Toc102633982"/>
    </w:p>
    <w:p w14:paraId="4728414C">
      <w:pPr>
        <w:pStyle w:val="4"/>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5"/>
      <w:bookmarkEnd w:id="36"/>
      <w:bookmarkEnd w:id="37"/>
      <w:bookmarkEnd w:id="38"/>
      <w:bookmarkEnd w:id="39"/>
    </w:p>
    <w:p w14:paraId="112AC8C4">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泰安第九加油站</w:t>
      </w:r>
      <w:r>
        <w:rPr>
          <w:rFonts w:ascii="宋体"/>
          <w:color w:val="auto"/>
          <w:highlight w:val="none"/>
        </w:rPr>
        <w:t>的具体情况，选用安全检查表、事故树法及危险度评价法对加油站进行评价。具体应用如下表所示：</w:t>
      </w:r>
    </w:p>
    <w:p w14:paraId="2063F328">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20"/>
              <w:widowControl w:val="0"/>
              <w:adjustRightInd w:val="0"/>
              <w:snapToGrid w:val="0"/>
              <w:spacing w:line="360" w:lineRule="auto"/>
              <w:rPr>
                <w:rFonts w:ascii="宋体"/>
                <w:b/>
                <w:color w:val="auto"/>
                <w:highlight w:val="none"/>
              </w:rPr>
            </w:pPr>
          </w:p>
        </w:tc>
        <w:tc>
          <w:tcPr>
            <w:tcW w:w="1196" w:type="pct"/>
            <w:vAlign w:val="center"/>
          </w:tcPr>
          <w:p w14:paraId="3AFEA6A5">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20"/>
              <w:widowControl w:val="0"/>
              <w:adjustRightInd w:val="0"/>
              <w:snapToGrid w:val="0"/>
              <w:spacing w:line="360" w:lineRule="auto"/>
              <w:rPr>
                <w:rFonts w:ascii="宋体"/>
                <w:color w:val="auto"/>
                <w:highlight w:val="none"/>
              </w:rPr>
            </w:pPr>
          </w:p>
        </w:tc>
        <w:tc>
          <w:tcPr>
            <w:tcW w:w="972" w:type="pct"/>
            <w:vAlign w:val="center"/>
          </w:tcPr>
          <w:p w14:paraId="55972ED6">
            <w:pPr>
              <w:pStyle w:val="20"/>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20"/>
              <w:widowControl w:val="0"/>
              <w:adjustRightInd w:val="0"/>
              <w:snapToGrid w:val="0"/>
              <w:spacing w:line="360" w:lineRule="auto"/>
              <w:rPr>
                <w:rFonts w:ascii="宋体"/>
                <w:color w:val="auto"/>
                <w:highlight w:val="none"/>
              </w:rPr>
            </w:pPr>
          </w:p>
        </w:tc>
        <w:tc>
          <w:tcPr>
            <w:tcW w:w="972" w:type="pct"/>
            <w:vAlign w:val="center"/>
          </w:tcPr>
          <w:p w14:paraId="4EA5D93B">
            <w:pPr>
              <w:pStyle w:val="20"/>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20"/>
              <w:widowControl w:val="0"/>
              <w:adjustRightInd w:val="0"/>
              <w:snapToGrid w:val="0"/>
              <w:spacing w:line="360" w:lineRule="auto"/>
              <w:rPr>
                <w:rFonts w:ascii="宋体"/>
                <w:color w:val="auto"/>
                <w:highlight w:val="none"/>
              </w:rPr>
            </w:pPr>
          </w:p>
        </w:tc>
        <w:tc>
          <w:tcPr>
            <w:tcW w:w="972" w:type="pct"/>
            <w:vAlign w:val="center"/>
          </w:tcPr>
          <w:p w14:paraId="34376E2F">
            <w:pPr>
              <w:pStyle w:val="20"/>
              <w:widowControl w:val="0"/>
              <w:adjustRightInd w:val="0"/>
              <w:snapToGrid w:val="0"/>
              <w:spacing w:line="360" w:lineRule="auto"/>
              <w:rPr>
                <w:rFonts w:ascii="宋体"/>
                <w:color w:val="auto"/>
                <w:highlight w:val="none"/>
              </w:rPr>
            </w:pPr>
          </w:p>
        </w:tc>
      </w:tr>
    </w:tbl>
    <w:p w14:paraId="761C022E">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709F192E">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default" w:ascii="宋体"/>
          <w:color w:val="auto"/>
          <w:kern w:val="0"/>
          <w:sz w:val="28"/>
          <w:szCs w:val="20"/>
          <w:lang w:val="en-US" w:eastAsia="zh-CN"/>
        </w:rPr>
        <w:br w:type="page"/>
      </w:r>
      <w:bookmarkStart w:id="40" w:name="_Toc7871"/>
      <w:r>
        <w:rPr>
          <w:rFonts w:hint="eastAsia"/>
          <w:color w:val="auto"/>
          <w:highlight w:val="none"/>
        </w:rPr>
        <w:t>第六章  安全对策措施及建议</w:t>
      </w:r>
      <w:bookmarkEnd w:id="40"/>
    </w:p>
    <w:p w14:paraId="61D5A378">
      <w:pPr>
        <w:pStyle w:val="4"/>
        <w:spacing w:before="312" w:beforeLines="100" w:after="312" w:afterLines="100" w:line="360" w:lineRule="auto"/>
        <w:ind w:firstLine="0"/>
        <w:rPr>
          <w:rFonts w:hint="eastAsia"/>
          <w:color w:val="auto"/>
          <w:highlight w:val="none"/>
        </w:rPr>
      </w:pPr>
      <w:bookmarkStart w:id="41" w:name="_Toc225046264"/>
      <w:bookmarkStart w:id="42" w:name="_Toc339456079"/>
      <w:bookmarkStart w:id="43" w:name="_Toc4961"/>
      <w:bookmarkStart w:id="44" w:name="_Toc242065302"/>
      <w:bookmarkStart w:id="45" w:name="_Toc15033762"/>
      <w:bookmarkStart w:id="46" w:name="_Toc2607"/>
      <w:bookmarkStart w:id="47" w:name="_Toc102633915"/>
      <w:bookmarkStart w:id="48" w:name="_Toc102634277"/>
      <w:bookmarkStart w:id="49" w:name="_Toc102634415"/>
      <w:bookmarkStart w:id="50" w:name="_Toc348877039"/>
      <w:bookmarkStart w:id="51" w:name="_Toc102633989"/>
      <w:r>
        <w:rPr>
          <w:rFonts w:hint="eastAsia"/>
          <w:color w:val="auto"/>
          <w:highlight w:val="none"/>
        </w:rPr>
        <w:t xml:space="preserve">第一节 </w:t>
      </w:r>
      <w:bookmarkEnd w:id="41"/>
      <w:bookmarkEnd w:id="42"/>
      <w:r>
        <w:rPr>
          <w:rFonts w:hint="eastAsia"/>
          <w:color w:val="auto"/>
          <w:highlight w:val="none"/>
        </w:rPr>
        <w:t>存在的问题及整改建议</w:t>
      </w:r>
      <w:bookmarkEnd w:id="43"/>
      <w:bookmarkEnd w:id="44"/>
      <w:bookmarkEnd w:id="45"/>
      <w:bookmarkEnd w:id="46"/>
      <w:bookmarkEnd w:id="47"/>
      <w:bookmarkEnd w:id="48"/>
      <w:bookmarkEnd w:id="49"/>
      <w:bookmarkEnd w:id="50"/>
      <w:bookmarkEnd w:id="51"/>
    </w:p>
    <w:p w14:paraId="0EA8F6C9">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52" w:name="_Toc49590281"/>
      <w:bookmarkStart w:id="53"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52"/>
      <w:bookmarkEnd w:id="53"/>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vAlign w:val="center"/>
          </w:tcPr>
          <w:p w14:paraId="6CAEA933">
            <w:pPr>
              <w:jc w:val="center"/>
              <w:rPr>
                <w:rFonts w:hint="default" w:ascii="宋体" w:hAnsi="宋体" w:eastAsia="宋体"/>
                <w:color w:val="auto"/>
                <w:kern w:val="0"/>
                <w:highlight w:val="none"/>
                <w:u w:color="000000"/>
                <w:lang w:val="en-US" w:eastAsia="zh-CN"/>
              </w:rPr>
            </w:pPr>
            <w:r>
              <w:rPr>
                <w:rStyle w:val="11"/>
                <w:rFonts w:hint="eastAsia"/>
                <w:color w:val="auto"/>
                <w:highlight w:val="none"/>
                <w:u w:color="000000"/>
                <w:lang w:val="en-US" w:eastAsia="zh-CN"/>
              </w:rPr>
              <w:t>无</w:t>
            </w:r>
          </w:p>
        </w:tc>
        <w:tc>
          <w:tcPr>
            <w:tcW w:w="4740" w:type="dxa"/>
            <w:vAlign w:val="center"/>
          </w:tcPr>
          <w:p w14:paraId="590897B6">
            <w:pPr>
              <w:jc w:val="center"/>
              <w:rPr>
                <w:rFonts w:hint="default" w:ascii="宋体" w:hAnsi="宋体"/>
                <w:color w:val="auto"/>
                <w:kern w:val="0"/>
                <w:highlight w:val="none"/>
                <w:u w:color="000000"/>
                <w:lang w:val="en-US"/>
              </w:rPr>
            </w:pPr>
            <w:r>
              <w:rPr>
                <w:rStyle w:val="11"/>
                <w:rFonts w:hint="eastAsia"/>
                <w:color w:val="auto"/>
                <w:highlight w:val="none"/>
                <w:u w:color="000000"/>
                <w:lang w:val="en-US" w:eastAsia="zh-CN"/>
              </w:rPr>
              <w:t>无</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2A98B92E">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B98A5AA">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38E59759">
      <w:pPr>
        <w:pStyle w:val="13"/>
        <w:rPr>
          <w:rFonts w:hint="eastAsia" w:ascii="黑体" w:hAnsi="黑体" w:eastAsia="黑体" w:cs="黑体"/>
          <w:color w:val="auto"/>
          <w:kern w:val="0"/>
          <w:sz w:val="24"/>
          <w:szCs w:val="24"/>
          <w:highlight w:val="none"/>
          <w:u w:color="000000"/>
        </w:rPr>
      </w:pPr>
    </w:p>
    <w:p w14:paraId="114A0FC6">
      <w:pPr>
        <w:pStyle w:val="4"/>
        <w:spacing w:before="312" w:beforeLines="100" w:after="312" w:afterLines="100" w:line="360" w:lineRule="auto"/>
        <w:ind w:firstLine="0"/>
        <w:rPr>
          <w:rFonts w:hint="eastAsia"/>
          <w:color w:val="auto"/>
          <w:highlight w:val="none"/>
        </w:rPr>
      </w:pPr>
    </w:p>
    <w:p w14:paraId="590292AA">
      <w:pPr>
        <w:pStyle w:val="4"/>
        <w:spacing w:before="312" w:beforeLines="100" w:after="312" w:afterLines="100" w:line="360" w:lineRule="auto"/>
        <w:ind w:firstLine="0"/>
        <w:rPr>
          <w:rFonts w:hint="eastAsia"/>
          <w:color w:val="auto"/>
          <w:highlight w:val="none"/>
        </w:rPr>
      </w:pPr>
    </w:p>
    <w:p w14:paraId="66360233">
      <w:pPr>
        <w:pStyle w:val="4"/>
        <w:spacing w:before="312" w:beforeLines="100" w:after="312" w:afterLines="100" w:line="360" w:lineRule="auto"/>
        <w:ind w:firstLine="0"/>
        <w:rPr>
          <w:rFonts w:hint="eastAsia"/>
          <w:color w:val="auto"/>
          <w:highlight w:val="none"/>
        </w:rPr>
      </w:pPr>
    </w:p>
    <w:p w14:paraId="4EA51761">
      <w:pPr>
        <w:pStyle w:val="4"/>
        <w:spacing w:before="312" w:beforeLines="100" w:after="312" w:afterLines="100" w:line="360" w:lineRule="auto"/>
        <w:ind w:firstLine="0"/>
        <w:rPr>
          <w:rFonts w:hint="eastAsia"/>
          <w:color w:val="auto"/>
          <w:highlight w:val="none"/>
        </w:rPr>
      </w:pPr>
    </w:p>
    <w:p w14:paraId="64834BD7">
      <w:pPr>
        <w:pStyle w:val="4"/>
        <w:spacing w:before="312" w:beforeLines="100" w:after="312" w:afterLines="100" w:line="360" w:lineRule="auto"/>
        <w:ind w:firstLine="0"/>
        <w:rPr>
          <w:rFonts w:hint="eastAsia"/>
          <w:color w:val="auto"/>
          <w:highlight w:val="none"/>
        </w:rPr>
      </w:pPr>
    </w:p>
    <w:p w14:paraId="5029CB27">
      <w:pPr>
        <w:pStyle w:val="4"/>
        <w:spacing w:before="312" w:beforeLines="100" w:after="312" w:afterLines="100" w:line="360" w:lineRule="auto"/>
        <w:ind w:firstLine="0"/>
        <w:rPr>
          <w:rFonts w:hint="eastAsia"/>
          <w:color w:val="auto"/>
          <w:highlight w:val="none"/>
        </w:rPr>
      </w:pPr>
    </w:p>
    <w:p w14:paraId="371A5244">
      <w:pPr>
        <w:pStyle w:val="4"/>
        <w:spacing w:before="312" w:beforeLines="100" w:after="312" w:afterLines="100" w:line="360" w:lineRule="auto"/>
        <w:ind w:firstLine="0"/>
        <w:rPr>
          <w:rFonts w:hint="eastAsia"/>
          <w:color w:val="auto"/>
          <w:highlight w:val="none"/>
        </w:rPr>
      </w:pPr>
      <w:r>
        <w:rPr>
          <w:rFonts w:hint="eastAsia"/>
          <w:color w:val="auto"/>
          <w:highlight w:val="none"/>
        </w:rPr>
        <w:t>第二节 整改复查情况表</w:t>
      </w:r>
    </w:p>
    <w:p w14:paraId="5357C6FC">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表6.2-1</w:t>
      </w:r>
      <w:r>
        <w:rPr>
          <w:rFonts w:hint="eastAsia" w:eastAsia="黑体"/>
          <w:color w:val="auto"/>
          <w:kern w:val="0"/>
          <w:sz w:val="24"/>
          <w:szCs w:val="24"/>
          <w:highlight w:val="none"/>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3409"/>
        <w:gridCol w:w="3717"/>
        <w:gridCol w:w="1525"/>
      </w:tblGrid>
      <w:tr w14:paraId="6CCEB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3" w:type="pct"/>
            <w:vAlign w:val="center"/>
          </w:tcPr>
          <w:p w14:paraId="6F07E380">
            <w:pPr>
              <w:pStyle w:val="20"/>
              <w:widowControl w:val="0"/>
              <w:spacing w:line="360" w:lineRule="auto"/>
              <w:rPr>
                <w:rFonts w:ascii="宋体" w:hAnsi="宋体"/>
                <w:b/>
                <w:bCs/>
                <w:color w:val="auto"/>
                <w:highlight w:val="none"/>
              </w:rPr>
            </w:pPr>
            <w:r>
              <w:rPr>
                <w:rFonts w:ascii="宋体" w:hAnsi="宋体"/>
                <w:b/>
                <w:bCs/>
                <w:color w:val="auto"/>
                <w:highlight w:val="none"/>
              </w:rPr>
              <w:t>序号</w:t>
            </w:r>
          </w:p>
        </w:tc>
        <w:tc>
          <w:tcPr>
            <w:tcW w:w="1835" w:type="pct"/>
            <w:vAlign w:val="center"/>
          </w:tcPr>
          <w:p w14:paraId="4FC47C08">
            <w:pPr>
              <w:pStyle w:val="20"/>
              <w:widowControl w:val="0"/>
              <w:spacing w:line="360" w:lineRule="auto"/>
              <w:rPr>
                <w:rFonts w:ascii="宋体" w:hAnsi="宋体"/>
                <w:b/>
                <w:bCs/>
                <w:color w:val="auto"/>
                <w:highlight w:val="none"/>
              </w:rPr>
            </w:pPr>
            <w:r>
              <w:rPr>
                <w:rFonts w:ascii="宋体" w:hAnsi="宋体"/>
                <w:b/>
                <w:bCs/>
                <w:color w:val="auto"/>
                <w:highlight w:val="none"/>
              </w:rPr>
              <w:t>存在问题</w:t>
            </w:r>
          </w:p>
        </w:tc>
        <w:tc>
          <w:tcPr>
            <w:tcW w:w="2001" w:type="pct"/>
            <w:vAlign w:val="center"/>
          </w:tcPr>
          <w:p w14:paraId="4A8BA6E9">
            <w:pPr>
              <w:pStyle w:val="20"/>
              <w:widowControl w:val="0"/>
              <w:spacing w:line="360" w:lineRule="auto"/>
              <w:rPr>
                <w:rFonts w:ascii="宋体" w:hAnsi="宋体"/>
                <w:b/>
                <w:bCs/>
                <w:color w:val="auto"/>
                <w:highlight w:val="none"/>
              </w:rPr>
            </w:pPr>
            <w:r>
              <w:rPr>
                <w:rFonts w:ascii="宋体" w:hAnsi="宋体"/>
                <w:b/>
                <w:bCs/>
                <w:color w:val="auto"/>
                <w:highlight w:val="none"/>
              </w:rPr>
              <w:t>整改措施</w:t>
            </w:r>
          </w:p>
        </w:tc>
        <w:tc>
          <w:tcPr>
            <w:tcW w:w="819" w:type="pct"/>
            <w:vAlign w:val="center"/>
          </w:tcPr>
          <w:p w14:paraId="06E60527">
            <w:pPr>
              <w:pStyle w:val="20"/>
              <w:widowControl w:val="0"/>
              <w:spacing w:line="360" w:lineRule="auto"/>
              <w:rPr>
                <w:rFonts w:ascii="宋体" w:hAnsi="宋体"/>
                <w:b/>
                <w:bCs/>
                <w:color w:val="auto"/>
                <w:highlight w:val="none"/>
              </w:rPr>
            </w:pPr>
            <w:r>
              <w:rPr>
                <w:rFonts w:ascii="宋体" w:hAnsi="宋体"/>
                <w:b/>
                <w:bCs/>
                <w:color w:val="auto"/>
                <w:highlight w:val="none"/>
              </w:rPr>
              <w:t>复查情况</w:t>
            </w:r>
          </w:p>
        </w:tc>
      </w:tr>
      <w:tr w14:paraId="4FE9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3" w:type="pct"/>
            <w:vAlign w:val="center"/>
          </w:tcPr>
          <w:p w14:paraId="7FE5A872">
            <w:pPr>
              <w:widowControl/>
              <w:tabs>
                <w:tab w:val="left" w:pos="6120"/>
              </w:tabs>
              <w:adjustRightInd w:val="0"/>
              <w:spacing w:before="31" w:beforeLines="10" w:after="31" w:afterLines="10" w:line="320" w:lineRule="exact"/>
              <w:jc w:val="center"/>
              <w:textAlignment w:val="baseline"/>
              <w:rPr>
                <w:rFonts w:hint="eastAsia" w:ascii="宋体" w:hAnsi="宋体" w:eastAsia="宋体" w:cs="Times New Roman"/>
                <w:bCs/>
                <w:color w:val="auto"/>
                <w:kern w:val="0"/>
                <w:position w:val="2"/>
                <w:sz w:val="21"/>
                <w:szCs w:val="21"/>
                <w:highlight w:val="none"/>
                <w:u w:color="000000"/>
                <w:lang w:val="en-US" w:eastAsia="zh-CN" w:bidi="ar-SA"/>
              </w:rPr>
            </w:pPr>
            <w:r>
              <w:rPr>
                <w:rFonts w:hint="eastAsia" w:ascii="宋体" w:hAnsi="宋体"/>
                <w:bCs/>
                <w:color w:val="auto"/>
                <w:kern w:val="0"/>
                <w:position w:val="2"/>
                <w:highlight w:val="none"/>
                <w:u w:color="000000"/>
                <w:lang w:val="en-US" w:eastAsia="zh-CN"/>
              </w:rPr>
              <w:t>1</w:t>
            </w:r>
          </w:p>
        </w:tc>
        <w:tc>
          <w:tcPr>
            <w:tcW w:w="3513" w:type="dxa"/>
            <w:vAlign w:val="center"/>
          </w:tcPr>
          <w:p w14:paraId="742A7964">
            <w:pPr>
              <w:jc w:val="center"/>
              <w:rPr>
                <w:rFonts w:ascii="宋体" w:hAnsi="宋体" w:eastAsia="宋体" w:cs="Times New Roman"/>
                <w:color w:val="auto"/>
                <w:kern w:val="0"/>
                <w:sz w:val="21"/>
                <w:szCs w:val="21"/>
                <w:highlight w:val="none"/>
                <w:u w:color="000000"/>
                <w:lang w:val="en-US" w:eastAsia="zh-CN" w:bidi="ar-SA"/>
              </w:rPr>
            </w:pPr>
            <w:r>
              <w:rPr>
                <w:rStyle w:val="11"/>
                <w:rFonts w:hint="eastAsia"/>
                <w:color w:val="auto"/>
                <w:highlight w:val="none"/>
                <w:u w:color="000000"/>
                <w:lang w:val="en-US" w:eastAsia="zh-CN"/>
              </w:rPr>
              <w:t>无</w:t>
            </w:r>
          </w:p>
        </w:tc>
        <w:tc>
          <w:tcPr>
            <w:tcW w:w="3830" w:type="dxa"/>
            <w:vAlign w:val="center"/>
          </w:tcPr>
          <w:p w14:paraId="0FFD918C">
            <w:pPr>
              <w:jc w:val="center"/>
              <w:rPr>
                <w:rFonts w:ascii="宋体" w:hAnsi="宋体" w:eastAsia="宋体" w:cs="Times New Roman"/>
                <w:color w:val="auto"/>
                <w:kern w:val="0"/>
                <w:sz w:val="21"/>
                <w:szCs w:val="21"/>
                <w:highlight w:val="none"/>
                <w:u w:color="000000"/>
                <w:lang w:val="en-US" w:eastAsia="zh-CN" w:bidi="ar-SA"/>
              </w:rPr>
            </w:pPr>
            <w:r>
              <w:rPr>
                <w:rStyle w:val="11"/>
                <w:rFonts w:hint="eastAsia"/>
                <w:color w:val="auto"/>
                <w:highlight w:val="none"/>
                <w:u w:color="000000"/>
                <w:lang w:val="en-US" w:eastAsia="zh-CN"/>
              </w:rPr>
              <w:t>无</w:t>
            </w:r>
          </w:p>
        </w:tc>
        <w:tc>
          <w:tcPr>
            <w:tcW w:w="819" w:type="pct"/>
            <w:vAlign w:val="center"/>
          </w:tcPr>
          <w:p w14:paraId="386C0969">
            <w:pPr>
              <w:spacing w:line="360" w:lineRule="auto"/>
              <w:jc w:val="center"/>
              <w:rPr>
                <w:rFonts w:ascii="宋体" w:hAnsi="宋体" w:cs="宋体"/>
                <w:bCs/>
                <w:color w:val="auto"/>
                <w:highlight w:val="none"/>
              </w:rPr>
            </w:pPr>
          </w:p>
        </w:tc>
      </w:tr>
      <w:tr w14:paraId="73EA7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7A2D8FFB">
            <w:pPr>
              <w:pStyle w:val="17"/>
              <w:widowControl w:val="0"/>
              <w:spacing w:line="360" w:lineRule="auto"/>
              <w:ind w:firstLine="420"/>
              <w:jc w:val="left"/>
              <w:rPr>
                <w:rFonts w:ascii="宋体" w:hAnsi="宋体" w:cs="宋体"/>
                <w:color w:val="auto"/>
                <w:kern w:val="2"/>
                <w:szCs w:val="22"/>
                <w:highlight w:val="none"/>
              </w:rPr>
            </w:pPr>
            <w:r>
              <w:rPr>
                <w:rFonts w:hint="eastAsia" w:ascii="宋体" w:hAnsi="宋体" w:cs="宋体"/>
                <w:color w:val="auto"/>
                <w:kern w:val="2"/>
                <w:sz w:val="21"/>
                <w:szCs w:val="21"/>
                <w:highlight w:val="none"/>
              </w:rPr>
              <w:t>经复查，被评价单位尚有A项（0）项不符合，B项（0）项不符合。符合相关法律法规、标准规范的要求，该加油站现有风险程度可以接受。</w:t>
            </w:r>
          </w:p>
          <w:p w14:paraId="79A2E818">
            <w:pPr>
              <w:pStyle w:val="23"/>
              <w:spacing w:line="360" w:lineRule="auto"/>
              <w:rPr>
                <w:rFonts w:ascii="宋体" w:hAnsi="宋体" w:cs="宋体"/>
                <w:color w:val="auto"/>
                <w:highlight w:val="none"/>
              </w:rPr>
            </w:pPr>
          </w:p>
          <w:p w14:paraId="32E090D9">
            <w:pPr>
              <w:pStyle w:val="17"/>
              <w:widowControl w:val="0"/>
              <w:spacing w:line="360" w:lineRule="auto"/>
              <w:ind w:firstLine="199" w:firstLineChars="95"/>
              <w:rPr>
                <w:rFonts w:ascii="宋体" w:hAnsi="宋体" w:cs="宋体"/>
                <w:color w:val="auto"/>
                <w:kern w:val="2"/>
                <w:sz w:val="21"/>
                <w:szCs w:val="21"/>
                <w:highlight w:val="none"/>
              </w:rPr>
            </w:pPr>
            <w:r>
              <w:rPr>
                <w:rFonts w:hint="eastAsia" w:ascii="宋体" w:hAnsi="宋体" w:cs="宋体"/>
                <w:color w:val="auto"/>
                <w:kern w:val="2"/>
                <w:sz w:val="21"/>
                <w:szCs w:val="21"/>
                <w:highlight w:val="none"/>
              </w:rPr>
              <w:t>评价单位检查人员（签字）：</w:t>
            </w:r>
          </w:p>
          <w:p w14:paraId="19EE1A7D">
            <w:pPr>
              <w:pStyle w:val="23"/>
              <w:spacing w:line="360" w:lineRule="auto"/>
              <w:rPr>
                <w:rFonts w:ascii="宋体" w:hAnsi="宋体" w:cs="宋体"/>
                <w:color w:val="auto"/>
                <w:highlight w:val="none"/>
              </w:rPr>
            </w:pPr>
          </w:p>
          <w:p w14:paraId="3431AA07">
            <w:pPr>
              <w:pStyle w:val="23"/>
              <w:spacing w:line="360" w:lineRule="auto"/>
              <w:rPr>
                <w:rFonts w:ascii="宋体" w:hAnsi="宋体" w:cs="宋体"/>
                <w:color w:val="auto"/>
                <w:highlight w:val="none"/>
              </w:rPr>
            </w:pPr>
          </w:p>
          <w:p w14:paraId="52D04ACC">
            <w:pPr>
              <w:pStyle w:val="23"/>
              <w:spacing w:line="360" w:lineRule="auto"/>
              <w:rPr>
                <w:rFonts w:ascii="宋体" w:hAnsi="宋体" w:cs="宋体"/>
                <w:color w:val="auto"/>
                <w:highlight w:val="none"/>
              </w:rPr>
            </w:pPr>
          </w:p>
          <w:p w14:paraId="586812AC">
            <w:pPr>
              <w:pStyle w:val="23"/>
              <w:spacing w:line="360" w:lineRule="auto"/>
              <w:rPr>
                <w:rFonts w:ascii="宋体" w:hAnsi="宋体" w:cs="宋体"/>
                <w:color w:val="auto"/>
                <w:highlight w:val="none"/>
              </w:rPr>
            </w:pPr>
          </w:p>
          <w:p w14:paraId="3B8C0F86">
            <w:pPr>
              <w:pStyle w:val="17"/>
              <w:widowControl w:val="0"/>
              <w:spacing w:line="360" w:lineRule="auto"/>
              <w:ind w:firstLine="0" w:firstLineChars="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年    月    日 </w:t>
            </w:r>
          </w:p>
          <w:p w14:paraId="7C660074">
            <w:pPr>
              <w:pStyle w:val="17"/>
              <w:widowControl w:val="0"/>
              <w:spacing w:line="360" w:lineRule="auto"/>
              <w:ind w:firstLine="0" w:firstLineChars="0"/>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（单位盖章）</w:t>
            </w:r>
            <w:r>
              <w:rPr>
                <w:rFonts w:hint="eastAsia" w:ascii="宋体" w:hAnsi="宋体" w:cs="宋体"/>
                <w:color w:val="auto"/>
                <w:kern w:val="2"/>
                <w:sz w:val="21"/>
                <w:szCs w:val="21"/>
                <w:highlight w:val="none"/>
              </w:rPr>
              <w:t xml:space="preserve">                                                        </w:t>
            </w:r>
          </w:p>
        </w:tc>
      </w:tr>
      <w:tr w14:paraId="0CA6E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BE5A468">
            <w:pPr>
              <w:pStyle w:val="23"/>
              <w:spacing w:line="360" w:lineRule="auto"/>
              <w:rPr>
                <w:rFonts w:ascii="宋体" w:hAnsi="宋体"/>
                <w:color w:val="auto"/>
                <w:highlight w:val="none"/>
              </w:rPr>
            </w:pPr>
          </w:p>
          <w:p w14:paraId="10624935">
            <w:pPr>
              <w:pStyle w:val="17"/>
              <w:widowControl w:val="0"/>
              <w:spacing w:line="360" w:lineRule="auto"/>
              <w:ind w:firstLine="199" w:firstLineChars="95"/>
              <w:rPr>
                <w:rFonts w:ascii="宋体" w:hAnsi="宋体"/>
                <w:color w:val="auto"/>
                <w:kern w:val="2"/>
                <w:sz w:val="21"/>
                <w:szCs w:val="21"/>
                <w:highlight w:val="none"/>
              </w:rPr>
            </w:pPr>
            <w:r>
              <w:rPr>
                <w:rFonts w:ascii="宋体" w:hAnsi="宋体"/>
                <w:color w:val="auto"/>
                <w:kern w:val="2"/>
                <w:sz w:val="21"/>
                <w:szCs w:val="21"/>
                <w:highlight w:val="none"/>
              </w:rPr>
              <w:t>被评价单位主要负责人确认（签字）：</w:t>
            </w:r>
          </w:p>
          <w:p w14:paraId="402BA079">
            <w:pPr>
              <w:pStyle w:val="17"/>
              <w:widowControl w:val="0"/>
              <w:spacing w:line="360" w:lineRule="auto"/>
              <w:ind w:firstLine="0" w:firstLineChars="0"/>
              <w:jc w:val="center"/>
              <w:rPr>
                <w:rFonts w:ascii="宋体" w:hAnsi="宋体"/>
                <w:color w:val="auto"/>
                <w:kern w:val="2"/>
                <w:sz w:val="21"/>
                <w:szCs w:val="21"/>
                <w:highlight w:val="none"/>
              </w:rPr>
            </w:pPr>
          </w:p>
          <w:p w14:paraId="29969737">
            <w:pPr>
              <w:pStyle w:val="17"/>
              <w:widowControl w:val="0"/>
              <w:spacing w:line="360" w:lineRule="auto"/>
              <w:ind w:firstLine="0" w:firstLineChars="0"/>
              <w:jc w:val="center"/>
              <w:rPr>
                <w:rFonts w:ascii="宋体" w:hAnsi="宋体"/>
                <w:color w:val="auto"/>
                <w:kern w:val="2"/>
                <w:sz w:val="21"/>
                <w:szCs w:val="21"/>
                <w:highlight w:val="none"/>
              </w:rPr>
            </w:pPr>
          </w:p>
          <w:p w14:paraId="5549D0B6">
            <w:pPr>
              <w:pStyle w:val="17"/>
              <w:widowControl w:val="0"/>
              <w:spacing w:line="360" w:lineRule="auto"/>
              <w:ind w:firstLine="0" w:firstLineChars="0"/>
              <w:jc w:val="center"/>
              <w:rPr>
                <w:rFonts w:ascii="宋体" w:hAnsi="宋体"/>
                <w:color w:val="auto"/>
                <w:kern w:val="2"/>
                <w:sz w:val="21"/>
                <w:szCs w:val="21"/>
                <w:highlight w:val="none"/>
              </w:rPr>
            </w:pPr>
          </w:p>
          <w:p w14:paraId="03AF4B44">
            <w:pPr>
              <w:pStyle w:val="17"/>
              <w:widowControl w:val="0"/>
              <w:spacing w:line="360" w:lineRule="auto"/>
              <w:ind w:firstLine="0" w:firstLineChars="0"/>
              <w:jc w:val="center"/>
              <w:rPr>
                <w:rFonts w:ascii="宋体" w:hAnsi="宋体"/>
                <w:color w:val="auto"/>
                <w:kern w:val="2"/>
                <w:sz w:val="21"/>
                <w:szCs w:val="21"/>
                <w:highlight w:val="none"/>
              </w:rPr>
            </w:pPr>
          </w:p>
          <w:p w14:paraId="5BDD6B47">
            <w:pPr>
              <w:pStyle w:val="17"/>
              <w:widowControl w:val="0"/>
              <w:spacing w:line="360" w:lineRule="auto"/>
              <w:ind w:firstLine="0" w:firstLineChars="0"/>
              <w:jc w:val="center"/>
              <w:rPr>
                <w:rFonts w:ascii="宋体" w:hAnsi="宋体"/>
                <w:color w:val="auto"/>
                <w:kern w:val="2"/>
                <w:sz w:val="21"/>
                <w:szCs w:val="21"/>
                <w:highlight w:val="none"/>
              </w:rPr>
            </w:pPr>
          </w:p>
          <w:p w14:paraId="535556F8">
            <w:pPr>
              <w:pStyle w:val="17"/>
              <w:widowControl w:val="0"/>
              <w:spacing w:line="360" w:lineRule="auto"/>
              <w:ind w:firstLine="0" w:firstLineChars="0"/>
              <w:jc w:val="center"/>
              <w:rPr>
                <w:rFonts w:ascii="宋体" w:hAnsi="宋体"/>
                <w:color w:val="auto"/>
                <w:kern w:val="2"/>
                <w:sz w:val="21"/>
                <w:szCs w:val="21"/>
                <w:highlight w:val="none"/>
              </w:rPr>
            </w:pPr>
          </w:p>
          <w:p w14:paraId="0C083E0A">
            <w:pPr>
              <w:pStyle w:val="17"/>
              <w:widowControl w:val="0"/>
              <w:spacing w:line="360" w:lineRule="auto"/>
              <w:ind w:firstLine="0" w:firstLineChars="0"/>
              <w:jc w:val="center"/>
              <w:rPr>
                <w:rFonts w:ascii="宋体" w:hAnsi="宋体"/>
                <w:color w:val="auto"/>
                <w:kern w:val="2"/>
                <w:sz w:val="21"/>
                <w:szCs w:val="21"/>
                <w:highlight w:val="none"/>
              </w:rPr>
            </w:pPr>
          </w:p>
          <w:p w14:paraId="2873A12E">
            <w:pPr>
              <w:pStyle w:val="17"/>
              <w:widowControl w:val="0"/>
              <w:tabs>
                <w:tab w:val="left" w:pos="6690"/>
              </w:tabs>
              <w:spacing w:line="360" w:lineRule="auto"/>
              <w:ind w:firstLine="0" w:firstLineChars="0"/>
              <w:jc w:val="center"/>
              <w:rPr>
                <w:rFonts w:ascii="宋体" w:hAnsi="宋体"/>
                <w:color w:val="auto"/>
                <w:kern w:val="2"/>
                <w:sz w:val="21"/>
                <w:szCs w:val="21"/>
                <w:highlight w:val="none"/>
              </w:rPr>
            </w:pP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 xml:space="preserve">年 </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月</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 xml:space="preserve">日 </w:t>
            </w:r>
          </w:p>
          <w:p w14:paraId="4C671DC9">
            <w:pPr>
              <w:pStyle w:val="17"/>
              <w:widowControl w:val="0"/>
              <w:spacing w:line="360" w:lineRule="auto"/>
              <w:ind w:firstLine="0" w:firstLineChars="0"/>
              <w:jc w:val="center"/>
              <w:rPr>
                <w:rFonts w:ascii="宋体" w:hAnsi="宋体"/>
                <w:color w:val="auto"/>
                <w:kern w:val="2"/>
                <w:sz w:val="21"/>
                <w:szCs w:val="21"/>
                <w:highlight w:val="none"/>
              </w:rPr>
            </w:pPr>
            <w:r>
              <w:rPr>
                <w:rFonts w:ascii="宋体" w:hAnsi="宋体"/>
                <w:color w:val="auto"/>
                <w:kern w:val="2"/>
                <w:sz w:val="21"/>
                <w:szCs w:val="21"/>
                <w:highlight w:val="none"/>
              </w:rPr>
              <w:t xml:space="preserve">                                      </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（单位盖章）</w:t>
            </w:r>
          </w:p>
        </w:tc>
      </w:tr>
    </w:tbl>
    <w:p w14:paraId="2AFCCAE4">
      <w:pPr>
        <w:pStyle w:val="4"/>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0"/>
        <w:textAlignment w:val="auto"/>
        <w:rPr>
          <w:rFonts w:hint="eastAsia"/>
          <w:color w:val="auto"/>
          <w:highlight w:val="none"/>
        </w:rPr>
      </w:pPr>
      <w:bookmarkStart w:id="54" w:name="_Toc102634288"/>
      <w:bookmarkStart w:id="55" w:name="_Toc18997"/>
      <w:bookmarkStart w:id="56" w:name="_Toc29653"/>
      <w:bookmarkStart w:id="57" w:name="_Toc102633994"/>
      <w:bookmarkStart w:id="58" w:name="_Toc102634420"/>
      <w:bookmarkStart w:id="59" w:name="_Toc102633920"/>
      <w:bookmarkStart w:id="60" w:name="_Toc15033767"/>
    </w:p>
    <w:bookmarkEnd w:id="54"/>
    <w:bookmarkEnd w:id="55"/>
    <w:bookmarkEnd w:id="56"/>
    <w:bookmarkEnd w:id="57"/>
    <w:bookmarkEnd w:id="58"/>
    <w:bookmarkEnd w:id="59"/>
    <w:bookmarkEnd w:id="60"/>
    <w:p w14:paraId="3FD75B10">
      <w:pPr>
        <w:pStyle w:val="4"/>
        <w:spacing w:before="312" w:beforeLines="100" w:after="312" w:afterLines="100" w:line="440" w:lineRule="exact"/>
        <w:ind w:firstLine="0"/>
        <w:rPr>
          <w:color w:val="auto"/>
        </w:rPr>
      </w:pPr>
      <w:r>
        <w:rPr>
          <w:rFonts w:hint="eastAsia"/>
          <w:color w:val="auto"/>
        </w:rPr>
        <w:t>第二节 评价结论</w:t>
      </w:r>
    </w:p>
    <w:p w14:paraId="43CD455C">
      <w:pPr>
        <w:pStyle w:val="17"/>
        <w:widowControl w:val="0"/>
        <w:adjustRightInd w:val="0"/>
        <w:snapToGrid w:val="0"/>
        <w:spacing w:line="500" w:lineRule="exact"/>
        <w:ind w:firstLine="560"/>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中国石化山东泰山石油股份有限公司泰安第二十二加油站</w:t>
      </w:r>
      <w:r>
        <w:rPr>
          <w:rFonts w:ascii="宋体"/>
          <w:snapToGrid w:val="0"/>
          <w:color w:val="auto"/>
        </w:rPr>
        <w:t>的经营情况的安全现状评价，评价组认为：</w:t>
      </w:r>
    </w:p>
    <w:p w14:paraId="34EABE61">
      <w:pPr>
        <w:pStyle w:val="17"/>
        <w:widowControl w:val="0"/>
        <w:adjustRightInd w:val="0"/>
        <w:snapToGrid w:val="0"/>
        <w:spacing w:line="500" w:lineRule="exact"/>
        <w:ind w:firstLine="560"/>
        <w:rPr>
          <w:rFonts w:ascii="宋体"/>
          <w:snapToGrid w:val="0"/>
          <w:color w:val="auto"/>
        </w:rPr>
      </w:pPr>
      <w:r>
        <w:rPr>
          <w:rFonts w:hint="eastAsia" w:ascii="宋体"/>
          <w:snapToGrid w:val="0"/>
          <w:color w:val="auto"/>
        </w:rPr>
        <w:t>中国石化山东泰山石油股份有限公司泰安第二十二加油站</w:t>
      </w:r>
      <w:r>
        <w:rPr>
          <w:rFonts w:ascii="宋体"/>
          <w:snapToGrid w:val="0"/>
          <w:color w:val="auto"/>
        </w:rPr>
        <w:t>周边环境良好、总平面布置符合《汽车加油加气加氢站技术标准》、《建筑设计防火规范》等相关国家标准、行业标准的规定。</w:t>
      </w:r>
    </w:p>
    <w:p w14:paraId="2C964E8E">
      <w:pPr>
        <w:pStyle w:val="17"/>
        <w:widowControl w:val="0"/>
        <w:adjustRightInd w:val="0"/>
        <w:snapToGrid w:val="0"/>
        <w:spacing w:line="500" w:lineRule="exact"/>
        <w:ind w:firstLine="560"/>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1D5063B9">
      <w:pPr>
        <w:pStyle w:val="17"/>
        <w:widowControl w:val="0"/>
        <w:adjustRightInd w:val="0"/>
        <w:snapToGrid w:val="0"/>
        <w:spacing w:line="500" w:lineRule="exact"/>
        <w:ind w:firstLine="560"/>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300E6449">
      <w:pPr>
        <w:pStyle w:val="17"/>
        <w:widowControl w:val="0"/>
        <w:adjustRightInd w:val="0"/>
        <w:snapToGrid w:val="0"/>
        <w:spacing w:line="500" w:lineRule="exact"/>
        <w:ind w:firstLine="560"/>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332A0136">
      <w:pPr>
        <w:pStyle w:val="17"/>
        <w:widowControl w:val="0"/>
        <w:adjustRightInd w:val="0"/>
        <w:snapToGrid w:val="0"/>
        <w:spacing w:line="500" w:lineRule="exact"/>
        <w:ind w:firstLine="562"/>
        <w:rPr>
          <w:b/>
          <w:bCs/>
          <w:color w:val="auto"/>
        </w:rPr>
      </w:pPr>
      <w:r>
        <w:rPr>
          <w:b/>
          <w:bCs/>
          <w:color w:val="auto"/>
        </w:rPr>
        <w:t>综上所述，</w:t>
      </w:r>
      <w:r>
        <w:rPr>
          <w:rFonts w:hint="eastAsia"/>
          <w:b/>
          <w:color w:val="auto"/>
        </w:rPr>
        <w:t>中国石化山东泰山石油股份有限公司泰安第二十二加油站</w:t>
      </w:r>
      <w:r>
        <w:rPr>
          <w:b/>
          <w:bCs/>
          <w:color w:val="auto"/>
        </w:rPr>
        <w:t>危险化学品经营符合国家有关安全生产的法律法规、技术标准要求，具备经营</w:t>
      </w:r>
      <w:r>
        <w:rPr>
          <w:rFonts w:hint="eastAsia"/>
          <w:b/>
          <w:bCs/>
          <w:color w:val="auto"/>
        </w:rPr>
        <w:t>汽油、乙醇汽油、柴油</w:t>
      </w:r>
      <w:r>
        <w:rPr>
          <w:b/>
          <w:bCs/>
          <w:color w:val="auto"/>
        </w:rPr>
        <w:t>的安全条件。</w:t>
      </w:r>
      <w:bookmarkStart w:id="61" w:name="_Toc102633921"/>
      <w:bookmarkStart w:id="62" w:name="_Toc87375115"/>
      <w:bookmarkStart w:id="63" w:name="_Toc16834"/>
      <w:bookmarkStart w:id="64" w:name="_Toc76827614"/>
      <w:bookmarkStart w:id="65" w:name="_Toc102634421"/>
      <w:bookmarkStart w:id="66" w:name="_Toc10432"/>
      <w:bookmarkStart w:id="67" w:name="_Toc102633995"/>
      <w:bookmarkStart w:id="68" w:name="_Toc102634289"/>
    </w:p>
    <w:p w14:paraId="6D7D5366">
      <w:pPr>
        <w:pStyle w:val="18"/>
        <w:spacing w:before="312" w:after="312"/>
        <w:rPr>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7BF567A3">
      <w:pPr>
        <w:pStyle w:val="17"/>
        <w:widowControl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中国石化山东泰山石油股份有限公司泰安第二十二加油站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1095D486">
      <w:pPr>
        <w:pStyle w:val="17"/>
        <w:widowControl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中国石化山东泰山石油股份有限公司泰安第二十二加油站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5F06D957">
      <w:pPr>
        <w:pStyle w:val="17"/>
        <w:widowControl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rPr>
        <w:t>1</w:t>
      </w:r>
      <w:r>
        <w:rPr>
          <w:rFonts w:hint="eastAsia" w:ascii="宋体"/>
          <w:snapToGrid w:val="0"/>
          <w:color w:val="auto"/>
          <w:lang w:val="en-US" w:eastAsia="zh-CN"/>
        </w:rPr>
        <w:t>2</w:t>
      </w:r>
      <w:r>
        <w:rPr>
          <w:rFonts w:ascii="宋体"/>
          <w:snapToGrid w:val="0"/>
          <w:color w:val="auto"/>
        </w:rPr>
        <w:t>月编制完成本安全评价报告。</w:t>
      </w:r>
    </w:p>
    <w:p w14:paraId="24CCD572">
      <w:pPr>
        <w:pStyle w:val="17"/>
        <w:widowControl w:val="0"/>
        <w:adjustRightInd w:val="0"/>
        <w:snapToGrid w:val="0"/>
        <w:spacing w:line="360" w:lineRule="auto"/>
        <w:ind w:firstLine="562"/>
        <w:rPr>
          <w:b/>
          <w:bCs/>
          <w:color w:val="auto"/>
        </w:rPr>
      </w:pPr>
    </w:p>
    <w:p w14:paraId="61252D09">
      <w:pPr>
        <w:pStyle w:val="17"/>
        <w:widowControl w:val="0"/>
        <w:adjustRightInd w:val="0"/>
        <w:snapToGrid w:val="0"/>
        <w:spacing w:line="360" w:lineRule="auto"/>
        <w:ind w:firstLine="562"/>
        <w:rPr>
          <w:b/>
          <w:bCs/>
          <w:color w:val="auto"/>
        </w:rPr>
      </w:pPr>
    </w:p>
    <w:p w14:paraId="6A3D9C11">
      <w:pPr>
        <w:pStyle w:val="17"/>
        <w:widowControl w:val="0"/>
        <w:adjustRightInd w:val="0"/>
        <w:snapToGrid w:val="0"/>
        <w:spacing w:line="360" w:lineRule="auto"/>
        <w:ind w:firstLine="562"/>
        <w:rPr>
          <w:b/>
          <w:bCs/>
          <w:color w:val="auto"/>
        </w:rPr>
      </w:pPr>
    </w:p>
    <w:p w14:paraId="5899244C">
      <w:pPr>
        <w:pStyle w:val="17"/>
        <w:widowControl w:val="0"/>
        <w:adjustRightInd w:val="0"/>
        <w:snapToGrid w:val="0"/>
        <w:spacing w:line="360" w:lineRule="auto"/>
        <w:ind w:firstLine="562"/>
        <w:rPr>
          <w:b/>
          <w:bCs/>
          <w:color w:val="auto"/>
        </w:rPr>
      </w:pPr>
    </w:p>
    <w:p w14:paraId="06125593">
      <w:pPr>
        <w:pStyle w:val="17"/>
        <w:widowControl w:val="0"/>
        <w:adjustRightInd w:val="0"/>
        <w:snapToGrid w:val="0"/>
        <w:spacing w:line="360" w:lineRule="auto"/>
        <w:ind w:firstLine="562"/>
        <w:rPr>
          <w:b/>
          <w:bCs/>
          <w:color w:val="auto"/>
        </w:rPr>
      </w:pPr>
    </w:p>
    <w:p w14:paraId="08699357">
      <w:pPr>
        <w:pStyle w:val="17"/>
        <w:widowControl w:val="0"/>
        <w:adjustRightInd w:val="0"/>
        <w:snapToGrid w:val="0"/>
        <w:spacing w:line="360" w:lineRule="auto"/>
        <w:ind w:firstLine="562"/>
        <w:rPr>
          <w:b/>
          <w:bCs/>
          <w:color w:val="auto"/>
        </w:rPr>
      </w:pPr>
    </w:p>
    <w:p w14:paraId="55462727">
      <w:pPr>
        <w:pStyle w:val="17"/>
        <w:widowControl w:val="0"/>
        <w:adjustRightInd w:val="0"/>
        <w:snapToGrid w:val="0"/>
        <w:spacing w:line="360" w:lineRule="auto"/>
        <w:ind w:firstLine="562"/>
        <w:rPr>
          <w:b/>
          <w:bCs/>
          <w:color w:val="auto"/>
        </w:rPr>
      </w:pPr>
    </w:p>
    <w:p w14:paraId="7F58E5FF">
      <w:pPr>
        <w:pStyle w:val="17"/>
        <w:widowControl w:val="0"/>
        <w:adjustRightInd w:val="0"/>
        <w:snapToGrid w:val="0"/>
        <w:spacing w:line="360" w:lineRule="auto"/>
        <w:ind w:firstLine="562"/>
        <w:rPr>
          <w:b/>
          <w:bCs/>
          <w:color w:val="auto"/>
        </w:rPr>
      </w:pPr>
    </w:p>
    <w:p w14:paraId="107C57E2">
      <w:pPr>
        <w:pStyle w:val="17"/>
        <w:widowControl w:val="0"/>
        <w:adjustRightInd w:val="0"/>
        <w:snapToGrid w:val="0"/>
        <w:spacing w:line="360" w:lineRule="auto"/>
        <w:ind w:firstLine="562"/>
        <w:rPr>
          <w:b/>
          <w:bCs/>
          <w:color w:val="auto"/>
        </w:rPr>
      </w:pPr>
    </w:p>
    <w:p w14:paraId="0D44307A">
      <w:pPr>
        <w:pStyle w:val="17"/>
        <w:widowControl w:val="0"/>
        <w:adjustRightInd w:val="0"/>
        <w:snapToGrid w:val="0"/>
        <w:spacing w:line="360" w:lineRule="auto"/>
        <w:ind w:firstLine="560"/>
        <w:rPr>
          <w:bCs/>
          <w:color w:val="auto"/>
        </w:rPr>
      </w:pPr>
      <w:r>
        <w:rPr>
          <w:rFonts w:hint="eastAsia"/>
          <w:bCs/>
          <w:color w:val="auto"/>
        </w:rPr>
        <w:t>评价单位公章                              被评价单位公章</w:t>
      </w:r>
    </w:p>
    <w:p w14:paraId="0C0474B7">
      <w:pPr>
        <w:pStyle w:val="17"/>
        <w:widowControl w:val="0"/>
        <w:adjustRightInd w:val="0"/>
        <w:snapToGrid w:val="0"/>
        <w:spacing w:line="360" w:lineRule="auto"/>
        <w:ind w:firstLine="562"/>
        <w:rPr>
          <w:b/>
          <w:bCs/>
          <w:color w:val="auto"/>
        </w:rPr>
      </w:pPr>
    </w:p>
    <w:p w14:paraId="31266D79">
      <w:pPr>
        <w:pStyle w:val="17"/>
        <w:widowControl w:val="0"/>
        <w:adjustRightInd w:val="0"/>
        <w:snapToGrid w:val="0"/>
        <w:spacing w:line="360" w:lineRule="auto"/>
        <w:ind w:firstLine="562"/>
        <w:rPr>
          <w:b/>
          <w:bCs/>
          <w:color w:val="auto"/>
          <w:highlight w:val="none"/>
        </w:rPr>
      </w:pPr>
    </w:p>
    <w:p w14:paraId="5C6C327F">
      <w:pPr>
        <w:pStyle w:val="17"/>
        <w:widowControl w:val="0"/>
        <w:adjustRightInd w:val="0"/>
        <w:snapToGrid w:val="0"/>
        <w:spacing w:line="360" w:lineRule="auto"/>
        <w:ind w:firstLine="562"/>
        <w:rPr>
          <w:b/>
          <w:bCs/>
          <w:color w:val="auto"/>
          <w:highlight w:val="none"/>
        </w:rPr>
      </w:pPr>
    </w:p>
    <w:p w14:paraId="38E129FB">
      <w:pPr>
        <w:pStyle w:val="17"/>
        <w:widowControl w:val="0"/>
        <w:adjustRightInd w:val="0"/>
        <w:snapToGrid w:val="0"/>
        <w:spacing w:line="360" w:lineRule="auto"/>
        <w:ind w:firstLine="562"/>
        <w:rPr>
          <w:b/>
          <w:bCs/>
          <w:color w:val="auto"/>
          <w:highlight w:val="none"/>
        </w:rPr>
      </w:pPr>
    </w:p>
    <w:p w14:paraId="4E534425">
      <w:pPr>
        <w:pStyle w:val="17"/>
        <w:widowControl w:val="0"/>
        <w:adjustRightInd w:val="0"/>
        <w:snapToGrid w:val="0"/>
        <w:spacing w:line="360" w:lineRule="auto"/>
        <w:ind w:firstLine="562"/>
        <w:rPr>
          <w:b/>
          <w:bCs/>
          <w:color w:val="auto"/>
          <w:highlight w:val="none"/>
        </w:rPr>
      </w:pPr>
    </w:p>
    <w:p w14:paraId="09AB2C5A">
      <w:pPr>
        <w:keepNext w:val="0"/>
        <w:keepLines w:val="0"/>
        <w:pageBreakBefore w:val="0"/>
        <w:widowControl w:val="0"/>
        <w:kinsoku/>
        <w:wordWrap/>
        <w:overflowPunct/>
        <w:topLinePunct w:val="0"/>
        <w:autoSpaceDE/>
        <w:autoSpaceDN/>
        <w:bidi w:val="0"/>
        <w:adjustRightInd w:val="0"/>
        <w:snapToGrid w:val="0"/>
        <w:spacing w:before="469" w:beforeLines="150" w:after="157" w:afterLines="50"/>
        <w:jc w:val="center"/>
        <w:textAlignment w:val="auto"/>
        <w:rPr>
          <w:rFonts w:hint="eastAsia"/>
          <w:b/>
          <w:sz w:val="32"/>
          <w:szCs w:val="32"/>
        </w:rPr>
      </w:pPr>
      <w:r>
        <w:rPr>
          <w:rFonts w:hint="eastAsia"/>
          <w:b/>
          <w:sz w:val="32"/>
          <w:szCs w:val="32"/>
        </w:rPr>
        <w:t>安全评价人员</w:t>
      </w:r>
    </w:p>
    <w:tbl>
      <w:tblPr>
        <w:tblStyle w:val="9"/>
        <w:tblpPr w:leftFromText="180" w:rightFromText="180" w:vertAnchor="text" w:horzAnchor="page" w:tblpXSpec="center" w:tblpY="613"/>
        <w:tblOverlap w:val="never"/>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1173"/>
        <w:gridCol w:w="2209"/>
        <w:gridCol w:w="1843"/>
        <w:gridCol w:w="1472"/>
        <w:gridCol w:w="1917"/>
      </w:tblGrid>
      <w:tr w14:paraId="4F787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92" w:type="dxa"/>
            <w:noWrap w:val="0"/>
            <w:vAlign w:val="center"/>
          </w:tcPr>
          <w:p w14:paraId="6EA9EF0F">
            <w:pPr>
              <w:jc w:val="center"/>
              <w:rPr>
                <w:rFonts w:hint="eastAsia" w:ascii="宋体" w:hAnsi="宋体" w:eastAsia="宋体" w:cs="宋体"/>
                <w:b/>
                <w:bCs/>
                <w:spacing w:val="6"/>
                <w:sz w:val="24"/>
              </w:rPr>
            </w:pPr>
          </w:p>
        </w:tc>
        <w:tc>
          <w:tcPr>
            <w:tcW w:w="1173" w:type="dxa"/>
            <w:noWrap w:val="0"/>
            <w:vAlign w:val="center"/>
          </w:tcPr>
          <w:p w14:paraId="65B13CCE">
            <w:pPr>
              <w:jc w:val="center"/>
              <w:rPr>
                <w:rFonts w:hint="eastAsia" w:ascii="宋体" w:hAnsi="宋体" w:eastAsia="宋体" w:cs="宋体"/>
                <w:spacing w:val="6"/>
                <w:sz w:val="24"/>
              </w:rPr>
            </w:pPr>
            <w:r>
              <w:rPr>
                <w:rFonts w:hint="eastAsia" w:ascii="宋体" w:hAnsi="宋体" w:eastAsia="宋体" w:cs="宋体"/>
                <w:spacing w:val="6"/>
                <w:sz w:val="24"/>
              </w:rPr>
              <w:t>姓名</w:t>
            </w:r>
          </w:p>
        </w:tc>
        <w:tc>
          <w:tcPr>
            <w:tcW w:w="2209" w:type="dxa"/>
            <w:noWrap w:val="0"/>
            <w:vAlign w:val="center"/>
          </w:tcPr>
          <w:p w14:paraId="759DDDCF">
            <w:pPr>
              <w:jc w:val="center"/>
              <w:rPr>
                <w:rFonts w:hint="eastAsia" w:ascii="宋体" w:hAnsi="宋体" w:eastAsia="宋体" w:cs="宋体"/>
                <w:spacing w:val="6"/>
                <w:sz w:val="24"/>
              </w:rPr>
            </w:pPr>
            <w:r>
              <w:rPr>
                <w:rFonts w:hint="eastAsia" w:ascii="宋体" w:hAnsi="宋体" w:eastAsia="宋体" w:cs="宋体"/>
                <w:spacing w:val="6"/>
                <w:sz w:val="24"/>
              </w:rPr>
              <w:t>资格证书编号</w:t>
            </w:r>
          </w:p>
        </w:tc>
        <w:tc>
          <w:tcPr>
            <w:tcW w:w="1843" w:type="dxa"/>
            <w:noWrap w:val="0"/>
            <w:vAlign w:val="center"/>
          </w:tcPr>
          <w:p w14:paraId="31CB19F6">
            <w:pPr>
              <w:jc w:val="center"/>
              <w:rPr>
                <w:rFonts w:hint="eastAsia" w:ascii="宋体" w:hAnsi="宋体" w:eastAsia="宋体" w:cs="宋体"/>
                <w:spacing w:val="6"/>
                <w:sz w:val="24"/>
                <w:lang w:val="en-US" w:eastAsia="zh-CN"/>
              </w:rPr>
            </w:pPr>
            <w:r>
              <w:rPr>
                <w:rFonts w:hint="eastAsia" w:ascii="宋体" w:hAnsi="宋体" w:cs="宋体"/>
                <w:spacing w:val="6"/>
                <w:sz w:val="24"/>
                <w:lang w:val="en-US" w:eastAsia="zh-CN"/>
              </w:rPr>
              <w:t>专业</w:t>
            </w:r>
          </w:p>
        </w:tc>
        <w:tc>
          <w:tcPr>
            <w:tcW w:w="1472" w:type="dxa"/>
            <w:noWrap w:val="0"/>
            <w:vAlign w:val="center"/>
          </w:tcPr>
          <w:p w14:paraId="38ADF378">
            <w:pPr>
              <w:jc w:val="center"/>
              <w:rPr>
                <w:rFonts w:hint="eastAsia" w:ascii="宋体" w:hAnsi="宋体" w:eastAsia="宋体" w:cs="宋体"/>
                <w:spacing w:val="6"/>
                <w:sz w:val="24"/>
              </w:rPr>
            </w:pPr>
            <w:r>
              <w:rPr>
                <w:rFonts w:hint="eastAsia" w:ascii="宋体" w:hAnsi="宋体" w:eastAsia="宋体" w:cs="宋体"/>
                <w:spacing w:val="6"/>
                <w:sz w:val="24"/>
              </w:rPr>
              <w:t>从业登记</w:t>
            </w:r>
          </w:p>
          <w:p w14:paraId="16350D14">
            <w:pPr>
              <w:jc w:val="center"/>
              <w:rPr>
                <w:rFonts w:hint="eastAsia" w:ascii="宋体" w:hAnsi="宋体" w:eastAsia="宋体" w:cs="宋体"/>
                <w:spacing w:val="6"/>
                <w:sz w:val="24"/>
              </w:rPr>
            </w:pPr>
            <w:r>
              <w:rPr>
                <w:rFonts w:hint="eastAsia" w:ascii="宋体" w:hAnsi="宋体" w:eastAsia="宋体" w:cs="宋体"/>
                <w:spacing w:val="6"/>
                <w:sz w:val="24"/>
              </w:rPr>
              <w:t>编号</w:t>
            </w:r>
          </w:p>
        </w:tc>
        <w:tc>
          <w:tcPr>
            <w:tcW w:w="1917" w:type="dxa"/>
            <w:noWrap w:val="0"/>
            <w:vAlign w:val="center"/>
          </w:tcPr>
          <w:p w14:paraId="643A0F3A">
            <w:pPr>
              <w:jc w:val="center"/>
              <w:rPr>
                <w:rFonts w:hint="eastAsia" w:ascii="宋体" w:hAnsi="宋体" w:eastAsia="宋体" w:cs="宋体"/>
                <w:spacing w:val="6"/>
                <w:sz w:val="24"/>
              </w:rPr>
            </w:pPr>
            <w:r>
              <w:rPr>
                <w:rFonts w:hint="eastAsia" w:ascii="宋体" w:hAnsi="宋体" w:eastAsia="宋体" w:cs="宋体"/>
                <w:spacing w:val="6"/>
                <w:sz w:val="24"/>
              </w:rPr>
              <w:t>签字</w:t>
            </w:r>
          </w:p>
        </w:tc>
      </w:tr>
      <w:tr w14:paraId="7FFD3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74616A19">
            <w:pPr>
              <w:spacing w:line="360" w:lineRule="auto"/>
              <w:jc w:val="center"/>
              <w:rPr>
                <w:rFonts w:hint="default" w:ascii="宋体" w:hAnsi="宋体" w:eastAsia="宋体" w:cs="宋体"/>
                <w:spacing w:val="6"/>
                <w:sz w:val="24"/>
                <w:lang w:val="en-US" w:eastAsia="zh-CN"/>
              </w:rPr>
            </w:pPr>
            <w:r>
              <w:rPr>
                <w:rFonts w:hint="eastAsia" w:ascii="宋体" w:hAnsi="宋体" w:eastAsia="宋体" w:cs="宋体"/>
                <w:spacing w:val="6"/>
                <w:sz w:val="24"/>
                <w:lang w:val="en-US" w:eastAsia="zh-CN"/>
              </w:rPr>
              <w:t>项目负责人</w:t>
            </w:r>
          </w:p>
        </w:tc>
        <w:tc>
          <w:tcPr>
            <w:tcW w:w="1173" w:type="dxa"/>
            <w:noWrap w:val="0"/>
            <w:vAlign w:val="center"/>
          </w:tcPr>
          <w:p w14:paraId="13B3BAAD">
            <w:pPr>
              <w:spacing w:line="48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辛  磊</w:t>
            </w:r>
          </w:p>
        </w:tc>
        <w:tc>
          <w:tcPr>
            <w:tcW w:w="2209" w:type="dxa"/>
            <w:noWrap w:val="0"/>
            <w:vAlign w:val="center"/>
          </w:tcPr>
          <w:p w14:paraId="1FC9180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1800000000200794</w:t>
            </w:r>
          </w:p>
        </w:tc>
        <w:tc>
          <w:tcPr>
            <w:tcW w:w="1843" w:type="dxa"/>
            <w:noWrap w:val="0"/>
            <w:vAlign w:val="center"/>
          </w:tcPr>
          <w:p w14:paraId="414B1E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安全</w:t>
            </w:r>
          </w:p>
        </w:tc>
        <w:tc>
          <w:tcPr>
            <w:tcW w:w="1472" w:type="dxa"/>
            <w:noWrap w:val="0"/>
            <w:vAlign w:val="center"/>
          </w:tcPr>
          <w:p w14:paraId="6BBC4A9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021594</w:t>
            </w:r>
          </w:p>
        </w:tc>
        <w:tc>
          <w:tcPr>
            <w:tcW w:w="1917" w:type="dxa"/>
            <w:noWrap w:val="0"/>
            <w:vAlign w:val="center"/>
          </w:tcPr>
          <w:p w14:paraId="4786B5A3">
            <w:pPr>
              <w:jc w:val="center"/>
              <w:rPr>
                <w:rFonts w:hint="eastAsia" w:ascii="宋体" w:hAnsi="宋体" w:eastAsia="宋体" w:cs="宋体"/>
                <w:spacing w:val="6"/>
                <w:sz w:val="24"/>
              </w:rPr>
            </w:pPr>
          </w:p>
        </w:tc>
      </w:tr>
      <w:tr w14:paraId="72D15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restart"/>
            <w:noWrap w:val="0"/>
            <w:vAlign w:val="center"/>
          </w:tcPr>
          <w:p w14:paraId="48032231">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项目组成员</w:t>
            </w:r>
          </w:p>
        </w:tc>
        <w:tc>
          <w:tcPr>
            <w:tcW w:w="1173" w:type="dxa"/>
            <w:noWrap w:val="0"/>
            <w:vAlign w:val="center"/>
          </w:tcPr>
          <w:p w14:paraId="34FA112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刘卫国</w:t>
            </w:r>
          </w:p>
        </w:tc>
        <w:tc>
          <w:tcPr>
            <w:tcW w:w="2209" w:type="dxa"/>
            <w:noWrap w:val="0"/>
            <w:vAlign w:val="center"/>
          </w:tcPr>
          <w:p w14:paraId="67595AF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0800000000203440</w:t>
            </w:r>
          </w:p>
        </w:tc>
        <w:tc>
          <w:tcPr>
            <w:tcW w:w="1843" w:type="dxa"/>
            <w:noWrap w:val="0"/>
            <w:vAlign w:val="center"/>
          </w:tcPr>
          <w:p w14:paraId="0AA698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化工机械</w:t>
            </w:r>
          </w:p>
        </w:tc>
        <w:tc>
          <w:tcPr>
            <w:tcW w:w="1472" w:type="dxa"/>
            <w:noWrap w:val="0"/>
            <w:vAlign w:val="center"/>
          </w:tcPr>
          <w:p w14:paraId="6F59BE2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lang w:val="en-US" w:eastAsia="zh-CN" w:bidi="ar"/>
              </w:rPr>
              <w:t>009370</w:t>
            </w:r>
          </w:p>
        </w:tc>
        <w:tc>
          <w:tcPr>
            <w:tcW w:w="1917" w:type="dxa"/>
            <w:noWrap w:val="0"/>
            <w:vAlign w:val="center"/>
          </w:tcPr>
          <w:p w14:paraId="7500444B">
            <w:pPr>
              <w:spacing w:line="480" w:lineRule="auto"/>
              <w:jc w:val="center"/>
              <w:rPr>
                <w:rFonts w:hint="eastAsia" w:ascii="宋体" w:hAnsi="宋体" w:eastAsia="宋体" w:cs="宋体"/>
                <w:spacing w:val="6"/>
                <w:sz w:val="24"/>
              </w:rPr>
            </w:pPr>
          </w:p>
        </w:tc>
      </w:tr>
      <w:tr w14:paraId="4045D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5570F723">
            <w:pPr>
              <w:spacing w:line="480" w:lineRule="auto"/>
              <w:jc w:val="center"/>
              <w:rPr>
                <w:rFonts w:hint="eastAsia" w:ascii="宋体" w:hAnsi="宋体" w:eastAsia="宋体" w:cs="宋体"/>
                <w:spacing w:val="6"/>
                <w:sz w:val="24"/>
              </w:rPr>
            </w:pPr>
          </w:p>
        </w:tc>
        <w:tc>
          <w:tcPr>
            <w:tcW w:w="1173" w:type="dxa"/>
            <w:noWrap w:val="0"/>
            <w:vAlign w:val="center"/>
          </w:tcPr>
          <w:p w14:paraId="1790D63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王</w:t>
            </w:r>
            <w:r>
              <w:rPr>
                <w:rFonts w:hint="eastAsia" w:ascii="宋体" w:hAnsi="宋体" w:eastAsia="宋体" w:cs="宋体"/>
                <w:sz w:val="24"/>
                <w:lang w:val="en-US" w:eastAsia="zh-CN"/>
              </w:rPr>
              <w:t xml:space="preserve">  </w:t>
            </w:r>
            <w:r>
              <w:rPr>
                <w:rFonts w:hint="eastAsia" w:ascii="宋体" w:hAnsi="宋体" w:eastAsia="宋体" w:cs="宋体"/>
                <w:sz w:val="24"/>
              </w:rPr>
              <w:t>静</w:t>
            </w:r>
          </w:p>
        </w:tc>
        <w:tc>
          <w:tcPr>
            <w:tcW w:w="2209" w:type="dxa"/>
            <w:noWrap w:val="0"/>
            <w:vAlign w:val="center"/>
          </w:tcPr>
          <w:p w14:paraId="7095A0DC">
            <w:pPr>
              <w:jc w:val="center"/>
              <w:rPr>
                <w:rFonts w:hint="eastAsia" w:ascii="宋体" w:hAnsi="宋体" w:eastAsia="宋体" w:cs="宋体"/>
                <w:kern w:val="2"/>
                <w:sz w:val="24"/>
                <w:szCs w:val="27"/>
                <w:lang w:val="en-US" w:eastAsia="zh-CN" w:bidi="ar-SA"/>
              </w:rPr>
            </w:pPr>
            <w:r>
              <w:rPr>
                <w:rStyle w:val="24"/>
                <w:rFonts w:hint="eastAsia" w:ascii="宋体" w:hAnsi="宋体" w:eastAsia="宋体" w:cs="宋体"/>
                <w:sz w:val="24"/>
              </w:rPr>
              <w:t>1800000000300838</w:t>
            </w:r>
          </w:p>
        </w:tc>
        <w:tc>
          <w:tcPr>
            <w:tcW w:w="1843" w:type="dxa"/>
            <w:noWrap w:val="0"/>
            <w:vAlign w:val="center"/>
          </w:tcPr>
          <w:p w14:paraId="38229FFC">
            <w:pPr>
              <w:jc w:val="center"/>
              <w:rPr>
                <w:rFonts w:hint="default" w:ascii="宋体" w:hAnsi="宋体" w:eastAsia="宋体" w:cs="宋体"/>
                <w:kern w:val="0"/>
                <w:sz w:val="24"/>
                <w:szCs w:val="24"/>
                <w:lang w:val="en-US" w:eastAsia="zh-CN" w:bidi="ar-SA"/>
              </w:rPr>
            </w:pPr>
            <w:r>
              <w:rPr>
                <w:rFonts w:hint="eastAsia" w:ascii="宋体" w:hAnsi="宋体" w:eastAsia="宋体" w:cs="宋体"/>
                <w:sz w:val="24"/>
                <w:lang w:val="en-US" w:eastAsia="zh-CN"/>
              </w:rPr>
              <w:t>电气</w:t>
            </w:r>
          </w:p>
        </w:tc>
        <w:tc>
          <w:tcPr>
            <w:tcW w:w="1472" w:type="dxa"/>
            <w:noWrap w:val="0"/>
            <w:vAlign w:val="center"/>
          </w:tcPr>
          <w:p w14:paraId="7B2F5DD4">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rPr>
              <w:t>034276</w:t>
            </w:r>
          </w:p>
        </w:tc>
        <w:tc>
          <w:tcPr>
            <w:tcW w:w="1917" w:type="dxa"/>
            <w:noWrap w:val="0"/>
            <w:vAlign w:val="center"/>
          </w:tcPr>
          <w:p w14:paraId="5C9ECD52">
            <w:pPr>
              <w:jc w:val="center"/>
              <w:rPr>
                <w:rFonts w:hint="eastAsia" w:ascii="宋体" w:hAnsi="宋体" w:eastAsia="宋体" w:cs="宋体"/>
                <w:sz w:val="24"/>
              </w:rPr>
            </w:pPr>
          </w:p>
        </w:tc>
      </w:tr>
      <w:tr w14:paraId="76657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2B2E0270">
            <w:pPr>
              <w:spacing w:line="480" w:lineRule="auto"/>
              <w:jc w:val="center"/>
              <w:rPr>
                <w:rFonts w:hint="eastAsia" w:ascii="宋体" w:hAnsi="宋体" w:eastAsia="宋体" w:cs="宋体"/>
                <w:spacing w:val="6"/>
                <w:sz w:val="24"/>
              </w:rPr>
            </w:pPr>
          </w:p>
        </w:tc>
        <w:tc>
          <w:tcPr>
            <w:tcW w:w="1173" w:type="dxa"/>
            <w:noWrap w:val="0"/>
            <w:vAlign w:val="center"/>
          </w:tcPr>
          <w:p w14:paraId="6EF57F3F">
            <w:pPr>
              <w:jc w:val="center"/>
              <w:rPr>
                <w:rFonts w:hint="eastAsia" w:ascii="宋体" w:hAnsi="宋体" w:eastAsia="宋体" w:cs="宋体"/>
                <w:sz w:val="24"/>
              </w:rPr>
            </w:pPr>
            <w:r>
              <w:rPr>
                <w:rFonts w:hint="eastAsia" w:ascii="Times New Roman" w:hAnsi="Times New Roman" w:eastAsia="宋体" w:cs="Times New Roman"/>
                <w:kern w:val="2"/>
                <w:sz w:val="24"/>
                <w:szCs w:val="24"/>
                <w:lang w:val="en-US" w:eastAsia="zh-CN" w:bidi="ar-SA"/>
              </w:rPr>
              <w:t>马琳琳</w:t>
            </w:r>
          </w:p>
        </w:tc>
        <w:tc>
          <w:tcPr>
            <w:tcW w:w="2209" w:type="dxa"/>
            <w:noWrap w:val="0"/>
            <w:vAlign w:val="center"/>
          </w:tcPr>
          <w:p w14:paraId="7AE0915C">
            <w:pPr>
              <w:jc w:val="center"/>
              <w:rPr>
                <w:rStyle w:val="24"/>
                <w:rFonts w:hint="eastAsia" w:ascii="宋体" w:hAnsi="宋体" w:eastAsia="宋体" w:cs="宋体"/>
                <w:sz w:val="24"/>
              </w:rPr>
            </w:pPr>
            <w:r>
              <w:rPr>
                <w:rFonts w:hint="eastAsia" w:ascii="宋体" w:hAnsi="宋体" w:eastAsia="宋体" w:cs="Times New Roman"/>
                <w:kern w:val="2"/>
                <w:sz w:val="24"/>
                <w:szCs w:val="27"/>
                <w:lang w:val="en-US" w:eastAsia="zh-CN" w:bidi="ar-SA"/>
              </w:rPr>
              <w:t>1800000000200729</w:t>
            </w:r>
          </w:p>
        </w:tc>
        <w:tc>
          <w:tcPr>
            <w:tcW w:w="1843" w:type="dxa"/>
            <w:noWrap w:val="0"/>
            <w:vAlign w:val="center"/>
          </w:tcPr>
          <w:p w14:paraId="6314D82A">
            <w:pPr>
              <w:spacing w:line="480" w:lineRule="auto"/>
              <w:jc w:val="center"/>
              <w:rPr>
                <w:rFonts w:hint="eastAsia" w:ascii="宋体" w:hAnsi="宋体" w:eastAsia="宋体" w:cs="宋体"/>
                <w:sz w:val="24"/>
                <w:lang w:val="en-US" w:eastAsia="zh-CN"/>
              </w:rPr>
            </w:pPr>
            <w:r>
              <w:rPr>
                <w:rFonts w:hint="eastAsia" w:ascii="宋体" w:hAnsi="宋体"/>
                <w:sz w:val="24"/>
                <w:lang w:val="en-US" w:eastAsia="zh-CN"/>
              </w:rPr>
              <w:t>化工工艺</w:t>
            </w:r>
          </w:p>
        </w:tc>
        <w:tc>
          <w:tcPr>
            <w:tcW w:w="1472" w:type="dxa"/>
            <w:noWrap w:val="0"/>
            <w:vAlign w:val="center"/>
          </w:tcPr>
          <w:p w14:paraId="3B3BD68D">
            <w:pPr>
              <w:spacing w:line="480" w:lineRule="auto"/>
              <w:jc w:val="center"/>
              <w:rPr>
                <w:rFonts w:hint="eastAsia" w:ascii="宋体" w:hAnsi="宋体" w:eastAsia="宋体" w:cs="宋体"/>
                <w:kern w:val="0"/>
                <w:sz w:val="24"/>
              </w:rPr>
            </w:pPr>
            <w:r>
              <w:rPr>
                <w:rFonts w:hint="eastAsia" w:ascii="宋体" w:hAnsi="宋体" w:eastAsia="宋体" w:cs="Times New Roman"/>
                <w:kern w:val="2"/>
                <w:sz w:val="24"/>
                <w:szCs w:val="24"/>
                <w:lang w:val="en-US" w:eastAsia="zh-CN" w:bidi="ar-SA"/>
              </w:rPr>
              <w:t>032907</w:t>
            </w:r>
          </w:p>
        </w:tc>
        <w:tc>
          <w:tcPr>
            <w:tcW w:w="1917" w:type="dxa"/>
            <w:noWrap w:val="0"/>
            <w:vAlign w:val="center"/>
          </w:tcPr>
          <w:p w14:paraId="63BE8639">
            <w:pPr>
              <w:jc w:val="center"/>
              <w:rPr>
                <w:rFonts w:hint="eastAsia" w:ascii="宋体" w:hAnsi="宋体" w:eastAsia="宋体" w:cs="宋体"/>
                <w:sz w:val="24"/>
              </w:rPr>
            </w:pPr>
          </w:p>
        </w:tc>
      </w:tr>
      <w:tr w14:paraId="0BBE8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297F5C63">
            <w:pPr>
              <w:spacing w:line="480" w:lineRule="auto"/>
              <w:jc w:val="center"/>
              <w:rPr>
                <w:rFonts w:hint="eastAsia" w:ascii="宋体" w:hAnsi="宋体" w:eastAsia="宋体" w:cs="宋体"/>
                <w:spacing w:val="6"/>
                <w:sz w:val="24"/>
              </w:rPr>
            </w:pPr>
          </w:p>
        </w:tc>
        <w:tc>
          <w:tcPr>
            <w:tcW w:w="1173" w:type="dxa"/>
            <w:tcBorders>
              <w:bottom w:val="single" w:color="auto" w:sz="4" w:space="0"/>
            </w:tcBorders>
            <w:noWrap w:val="0"/>
            <w:vAlign w:val="center"/>
          </w:tcPr>
          <w:p w14:paraId="739B1E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刘振忠</w:t>
            </w:r>
          </w:p>
        </w:tc>
        <w:tc>
          <w:tcPr>
            <w:tcW w:w="2209" w:type="dxa"/>
            <w:tcBorders>
              <w:bottom w:val="single" w:color="auto" w:sz="4" w:space="0"/>
            </w:tcBorders>
            <w:noWrap w:val="0"/>
            <w:vAlign w:val="center"/>
          </w:tcPr>
          <w:p w14:paraId="7BB7621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S011032000110201000509</w:t>
            </w:r>
          </w:p>
        </w:tc>
        <w:tc>
          <w:tcPr>
            <w:tcW w:w="1843" w:type="dxa"/>
            <w:tcBorders>
              <w:bottom w:val="single" w:color="auto" w:sz="4" w:space="0"/>
            </w:tcBorders>
            <w:noWrap w:val="0"/>
            <w:vAlign w:val="center"/>
          </w:tcPr>
          <w:p w14:paraId="396677FC">
            <w:pPr>
              <w:spacing w:line="48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自动化</w:t>
            </w:r>
          </w:p>
        </w:tc>
        <w:tc>
          <w:tcPr>
            <w:tcW w:w="1472" w:type="dxa"/>
            <w:tcBorders>
              <w:bottom w:val="single" w:color="auto" w:sz="4" w:space="0"/>
            </w:tcBorders>
            <w:noWrap w:val="0"/>
            <w:vAlign w:val="center"/>
          </w:tcPr>
          <w:p w14:paraId="3794BABC">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024120</w:t>
            </w:r>
          </w:p>
        </w:tc>
        <w:tc>
          <w:tcPr>
            <w:tcW w:w="1917" w:type="dxa"/>
            <w:tcBorders>
              <w:bottom w:val="single" w:color="auto" w:sz="4" w:space="0"/>
            </w:tcBorders>
            <w:noWrap w:val="0"/>
            <w:vAlign w:val="center"/>
          </w:tcPr>
          <w:p w14:paraId="13D64D91">
            <w:pPr>
              <w:jc w:val="center"/>
              <w:rPr>
                <w:rFonts w:hint="eastAsia" w:ascii="宋体" w:hAnsi="宋体" w:eastAsia="宋体" w:cs="宋体"/>
                <w:sz w:val="24"/>
              </w:rPr>
            </w:pPr>
          </w:p>
        </w:tc>
      </w:tr>
      <w:tr w14:paraId="1F2FD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6638A66F">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报告</w:t>
            </w:r>
          </w:p>
          <w:p w14:paraId="1E7D5BB0">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编制人</w:t>
            </w:r>
          </w:p>
        </w:tc>
        <w:tc>
          <w:tcPr>
            <w:tcW w:w="1173" w:type="dxa"/>
            <w:noWrap w:val="0"/>
            <w:vAlign w:val="center"/>
          </w:tcPr>
          <w:p w14:paraId="089410A9">
            <w:pPr>
              <w:spacing w:line="480" w:lineRule="auto"/>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sz w:val="24"/>
                <w:lang w:val="en-US" w:eastAsia="zh-CN"/>
              </w:rPr>
              <w:t>辛  磊</w:t>
            </w:r>
          </w:p>
        </w:tc>
        <w:tc>
          <w:tcPr>
            <w:tcW w:w="2209" w:type="dxa"/>
            <w:noWrap w:val="0"/>
            <w:vAlign w:val="center"/>
          </w:tcPr>
          <w:p w14:paraId="6D05812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7"/>
                <w:lang w:val="en-US" w:eastAsia="zh-CN" w:bidi="ar-SA"/>
              </w:rPr>
            </w:pPr>
            <w:r>
              <w:rPr>
                <w:rFonts w:hint="eastAsia" w:ascii="宋体" w:hAnsi="宋体" w:eastAsia="宋体" w:cs="宋体"/>
                <w:kern w:val="0"/>
                <w:sz w:val="24"/>
                <w:szCs w:val="24"/>
                <w:lang w:val="en-US" w:eastAsia="zh-CN" w:bidi="ar"/>
              </w:rPr>
              <w:t>1800000000200794</w:t>
            </w:r>
          </w:p>
        </w:tc>
        <w:tc>
          <w:tcPr>
            <w:tcW w:w="1843" w:type="dxa"/>
            <w:noWrap w:val="0"/>
            <w:vAlign w:val="center"/>
          </w:tcPr>
          <w:p w14:paraId="1B75761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cs="宋体"/>
                <w:kern w:val="0"/>
                <w:sz w:val="24"/>
                <w:szCs w:val="24"/>
                <w:lang w:val="en-US" w:eastAsia="zh-CN" w:bidi="ar"/>
              </w:rPr>
              <w:t>安全</w:t>
            </w:r>
          </w:p>
        </w:tc>
        <w:tc>
          <w:tcPr>
            <w:tcW w:w="1472" w:type="dxa"/>
            <w:noWrap w:val="0"/>
            <w:vAlign w:val="center"/>
          </w:tcPr>
          <w:p w14:paraId="06BDD30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lang w:val="en-US" w:eastAsia="zh-CN" w:bidi="ar"/>
              </w:rPr>
              <w:t>021594</w:t>
            </w:r>
          </w:p>
        </w:tc>
        <w:tc>
          <w:tcPr>
            <w:tcW w:w="1917" w:type="dxa"/>
            <w:noWrap w:val="0"/>
            <w:vAlign w:val="center"/>
          </w:tcPr>
          <w:p w14:paraId="3EDDBA4E">
            <w:pPr>
              <w:jc w:val="center"/>
              <w:rPr>
                <w:rFonts w:hint="eastAsia" w:ascii="宋体" w:hAnsi="宋体" w:eastAsia="宋体" w:cs="宋体"/>
                <w:spacing w:val="6"/>
                <w:sz w:val="24"/>
              </w:rPr>
            </w:pPr>
          </w:p>
        </w:tc>
      </w:tr>
      <w:tr w14:paraId="211EB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066CE7B5">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报告</w:t>
            </w:r>
          </w:p>
          <w:p w14:paraId="6AA52E10">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审核人</w:t>
            </w:r>
          </w:p>
        </w:tc>
        <w:tc>
          <w:tcPr>
            <w:tcW w:w="1173" w:type="dxa"/>
            <w:noWrap w:val="0"/>
            <w:vAlign w:val="center"/>
          </w:tcPr>
          <w:p w14:paraId="6C201DCA">
            <w:pPr>
              <w:spacing w:line="480" w:lineRule="auto"/>
              <w:jc w:val="center"/>
              <w:rPr>
                <w:rFonts w:hint="default" w:ascii="宋体" w:hAnsi="宋体" w:eastAsia="宋体" w:cs="宋体"/>
                <w:kern w:val="2"/>
                <w:sz w:val="24"/>
                <w:szCs w:val="24"/>
                <w:lang w:val="en-US" w:eastAsia="zh-CN" w:bidi="ar-SA"/>
              </w:rPr>
            </w:pPr>
            <w:r>
              <w:rPr>
                <w:rFonts w:hint="eastAsia" w:ascii="宋体" w:hAnsi="宋体" w:eastAsia="宋体" w:cs="宋体"/>
                <w:bCs/>
                <w:color w:val="000000"/>
                <w:sz w:val="24"/>
                <w:lang w:eastAsia="zh-CN"/>
              </w:rPr>
              <w:t>崔</w:t>
            </w:r>
            <w:r>
              <w:rPr>
                <w:rFonts w:hint="eastAsia" w:ascii="宋体" w:hAnsi="宋体" w:eastAsia="宋体" w:cs="宋体"/>
                <w:bCs/>
                <w:color w:val="000000"/>
                <w:sz w:val="24"/>
                <w:lang w:val="en-US" w:eastAsia="zh-CN"/>
              </w:rPr>
              <w:t xml:space="preserve">  </w:t>
            </w:r>
            <w:r>
              <w:rPr>
                <w:rFonts w:hint="eastAsia" w:ascii="宋体" w:hAnsi="宋体" w:eastAsia="宋体" w:cs="宋体"/>
                <w:bCs/>
                <w:color w:val="000000"/>
                <w:sz w:val="24"/>
                <w:lang w:eastAsia="zh-CN"/>
              </w:rPr>
              <w:t>强</w:t>
            </w:r>
          </w:p>
        </w:tc>
        <w:tc>
          <w:tcPr>
            <w:tcW w:w="2209" w:type="dxa"/>
            <w:noWrap w:val="0"/>
            <w:vAlign w:val="center"/>
          </w:tcPr>
          <w:p w14:paraId="49B33449">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1700000000200717</w:t>
            </w:r>
          </w:p>
        </w:tc>
        <w:tc>
          <w:tcPr>
            <w:tcW w:w="1843" w:type="dxa"/>
            <w:noWrap w:val="0"/>
            <w:vAlign w:val="center"/>
          </w:tcPr>
          <w:p w14:paraId="5E695F61">
            <w:pPr>
              <w:spacing w:line="480" w:lineRule="auto"/>
              <w:jc w:val="center"/>
              <w:rPr>
                <w:rFonts w:hint="default" w:ascii="宋体" w:hAnsi="宋体" w:eastAsia="宋体" w:cs="宋体"/>
                <w:kern w:val="2"/>
                <w:sz w:val="24"/>
                <w:szCs w:val="24"/>
                <w:lang w:val="en-US" w:eastAsia="zh-CN" w:bidi="ar-SA"/>
              </w:rPr>
            </w:pPr>
            <w:r>
              <w:rPr>
                <w:rFonts w:hint="eastAsia" w:ascii="宋体" w:hAnsi="宋体"/>
                <w:sz w:val="24"/>
                <w:lang w:val="en-US" w:eastAsia="zh-CN"/>
              </w:rPr>
              <w:t>化工工艺</w:t>
            </w:r>
          </w:p>
        </w:tc>
        <w:tc>
          <w:tcPr>
            <w:tcW w:w="1472" w:type="dxa"/>
            <w:noWrap w:val="0"/>
            <w:vAlign w:val="center"/>
          </w:tcPr>
          <w:p w14:paraId="37C3D70B">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031071</w:t>
            </w:r>
          </w:p>
        </w:tc>
        <w:tc>
          <w:tcPr>
            <w:tcW w:w="1917" w:type="dxa"/>
            <w:noWrap w:val="0"/>
            <w:vAlign w:val="center"/>
          </w:tcPr>
          <w:p w14:paraId="13817AD4">
            <w:pPr>
              <w:jc w:val="center"/>
              <w:rPr>
                <w:rFonts w:hint="eastAsia" w:ascii="宋体" w:hAnsi="宋体" w:eastAsia="宋体" w:cs="宋体"/>
                <w:kern w:val="2"/>
                <w:sz w:val="24"/>
                <w:szCs w:val="24"/>
                <w:lang w:val="en-US" w:eastAsia="zh-CN" w:bidi="ar-SA"/>
              </w:rPr>
            </w:pPr>
          </w:p>
        </w:tc>
      </w:tr>
      <w:tr w14:paraId="0176A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992" w:type="dxa"/>
            <w:noWrap w:val="0"/>
            <w:vAlign w:val="center"/>
          </w:tcPr>
          <w:p w14:paraId="18B3E51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过程</w:t>
            </w:r>
          </w:p>
          <w:p w14:paraId="3B93ECF9">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控制</w:t>
            </w:r>
          </w:p>
          <w:p w14:paraId="2FA0A8A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负责人</w:t>
            </w:r>
          </w:p>
        </w:tc>
        <w:tc>
          <w:tcPr>
            <w:tcW w:w="1173" w:type="dxa"/>
            <w:noWrap w:val="0"/>
            <w:vAlign w:val="center"/>
          </w:tcPr>
          <w:p w14:paraId="53ACDF9D">
            <w:pPr>
              <w:spacing w:line="480" w:lineRule="auto"/>
              <w:jc w:val="center"/>
              <w:rPr>
                <w:rFonts w:hint="eastAsia" w:ascii="宋体" w:hAnsi="宋体" w:eastAsia="宋体" w:cs="宋体"/>
                <w:spacing w:val="6"/>
                <w:sz w:val="24"/>
              </w:rPr>
            </w:pPr>
            <w:r>
              <w:rPr>
                <w:rFonts w:hint="eastAsia" w:ascii="宋体" w:hAnsi="宋体" w:eastAsia="宋体" w:cs="宋体"/>
                <w:color w:val="000000"/>
                <w:spacing w:val="6"/>
                <w:sz w:val="24"/>
                <w:lang w:eastAsia="zh-CN"/>
              </w:rPr>
              <w:t>刘云红</w:t>
            </w:r>
          </w:p>
        </w:tc>
        <w:tc>
          <w:tcPr>
            <w:tcW w:w="2209" w:type="dxa"/>
            <w:noWrap w:val="0"/>
            <w:vAlign w:val="center"/>
          </w:tcPr>
          <w:p w14:paraId="60CEB0E7">
            <w:pPr>
              <w:jc w:val="center"/>
              <w:rPr>
                <w:rFonts w:hint="eastAsia" w:ascii="宋体" w:hAnsi="宋体" w:eastAsia="宋体" w:cs="宋体"/>
                <w:sz w:val="24"/>
              </w:rPr>
            </w:pPr>
            <w:r>
              <w:rPr>
                <w:rStyle w:val="24"/>
                <w:rFonts w:hint="eastAsia" w:ascii="宋体" w:hAnsi="宋体" w:eastAsia="宋体" w:cs="宋体"/>
                <w:sz w:val="24"/>
              </w:rPr>
              <w:t>1800000000200682</w:t>
            </w:r>
          </w:p>
        </w:tc>
        <w:tc>
          <w:tcPr>
            <w:tcW w:w="1843" w:type="dxa"/>
            <w:noWrap w:val="0"/>
            <w:vAlign w:val="center"/>
          </w:tcPr>
          <w:p w14:paraId="4DEA7BE8">
            <w:pPr>
              <w:widowControl/>
              <w:jc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安全</w:t>
            </w:r>
          </w:p>
        </w:tc>
        <w:tc>
          <w:tcPr>
            <w:tcW w:w="1472" w:type="dxa"/>
            <w:noWrap w:val="0"/>
            <w:vAlign w:val="center"/>
          </w:tcPr>
          <w:p w14:paraId="7C58524D">
            <w:pPr>
              <w:widowControl/>
              <w:jc w:val="center"/>
              <w:rPr>
                <w:rFonts w:hint="eastAsia" w:ascii="宋体" w:hAnsi="宋体" w:eastAsia="宋体" w:cs="宋体"/>
                <w:sz w:val="24"/>
              </w:rPr>
            </w:pPr>
            <w:r>
              <w:rPr>
                <w:rFonts w:hint="eastAsia" w:ascii="宋体" w:hAnsi="宋体" w:eastAsia="宋体" w:cs="宋体"/>
                <w:kern w:val="0"/>
                <w:sz w:val="24"/>
                <w:lang w:bidi="ar"/>
              </w:rPr>
              <w:t>024118</w:t>
            </w:r>
          </w:p>
        </w:tc>
        <w:tc>
          <w:tcPr>
            <w:tcW w:w="1917" w:type="dxa"/>
            <w:noWrap w:val="0"/>
            <w:vAlign w:val="center"/>
          </w:tcPr>
          <w:p w14:paraId="372A5CF3">
            <w:pPr>
              <w:spacing w:line="480" w:lineRule="auto"/>
              <w:jc w:val="center"/>
              <w:rPr>
                <w:rFonts w:hint="eastAsia" w:ascii="宋体" w:hAnsi="宋体" w:eastAsia="宋体" w:cs="宋体"/>
                <w:spacing w:val="6"/>
                <w:sz w:val="24"/>
              </w:rPr>
            </w:pPr>
          </w:p>
        </w:tc>
      </w:tr>
      <w:tr w14:paraId="08BC8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2" w:type="dxa"/>
            <w:noWrap w:val="0"/>
            <w:vAlign w:val="center"/>
          </w:tcPr>
          <w:p w14:paraId="0D160BD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技术</w:t>
            </w:r>
          </w:p>
          <w:p w14:paraId="7D2C3224">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负责人</w:t>
            </w:r>
          </w:p>
        </w:tc>
        <w:tc>
          <w:tcPr>
            <w:tcW w:w="1173" w:type="dxa"/>
            <w:noWrap w:val="0"/>
            <w:vAlign w:val="center"/>
          </w:tcPr>
          <w:p w14:paraId="7C0BEA5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000000"/>
                <w:spacing w:val="6"/>
                <w:kern w:val="2"/>
                <w:sz w:val="24"/>
                <w:szCs w:val="24"/>
                <w:lang w:val="en-US" w:eastAsia="zh-CN" w:bidi="ar-SA"/>
              </w:rPr>
            </w:pPr>
            <w:r>
              <w:rPr>
                <w:rFonts w:hint="eastAsia" w:ascii="宋体" w:hAnsi="宋体" w:cs="宋体"/>
                <w:sz w:val="24"/>
                <w:szCs w:val="24"/>
              </w:rPr>
              <w:t>孙</w:t>
            </w:r>
            <w:r>
              <w:rPr>
                <w:rFonts w:ascii="宋体" w:hAnsi="宋体" w:cs="宋体"/>
                <w:sz w:val="24"/>
                <w:szCs w:val="24"/>
              </w:rPr>
              <w:t xml:space="preserve">  </w:t>
            </w:r>
            <w:r>
              <w:rPr>
                <w:rFonts w:hint="eastAsia" w:ascii="宋体" w:hAnsi="宋体" w:cs="宋体"/>
                <w:sz w:val="24"/>
                <w:szCs w:val="24"/>
              </w:rPr>
              <w:t>虎</w:t>
            </w:r>
          </w:p>
        </w:tc>
        <w:tc>
          <w:tcPr>
            <w:tcW w:w="2209" w:type="dxa"/>
            <w:noWrap w:val="0"/>
            <w:vAlign w:val="center"/>
          </w:tcPr>
          <w:p w14:paraId="4BF78CE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ascii="宋体" w:hAnsi="宋体" w:cs="宋体"/>
                <w:sz w:val="24"/>
                <w:szCs w:val="24"/>
              </w:rPr>
              <w:t xml:space="preserve">1100000000100211 </w:t>
            </w:r>
          </w:p>
        </w:tc>
        <w:tc>
          <w:tcPr>
            <w:tcW w:w="1843" w:type="dxa"/>
            <w:noWrap w:val="0"/>
            <w:vAlign w:val="center"/>
          </w:tcPr>
          <w:p w14:paraId="2889F82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sz w:val="24"/>
                <w:lang w:val="en-US" w:eastAsia="zh-CN"/>
              </w:rPr>
              <w:t>化工工艺</w:t>
            </w:r>
          </w:p>
        </w:tc>
        <w:tc>
          <w:tcPr>
            <w:tcW w:w="1472" w:type="dxa"/>
            <w:noWrap w:val="0"/>
            <w:vAlign w:val="center"/>
          </w:tcPr>
          <w:p w14:paraId="42E3679A">
            <w:pPr>
              <w:spacing w:line="480" w:lineRule="auto"/>
              <w:jc w:val="center"/>
              <w:rPr>
                <w:rFonts w:hint="eastAsia" w:ascii="宋体" w:hAnsi="宋体" w:eastAsia="宋体" w:cs="宋体"/>
                <w:kern w:val="2"/>
                <w:sz w:val="24"/>
                <w:szCs w:val="24"/>
                <w:lang w:val="en-US" w:eastAsia="zh-CN" w:bidi="ar-SA"/>
              </w:rPr>
            </w:pPr>
            <w:r>
              <w:rPr>
                <w:rFonts w:ascii="宋体" w:hAnsi="宋体" w:cs="宋体"/>
                <w:sz w:val="24"/>
                <w:szCs w:val="24"/>
              </w:rPr>
              <w:t>015722</w:t>
            </w:r>
          </w:p>
        </w:tc>
        <w:tc>
          <w:tcPr>
            <w:tcW w:w="1917" w:type="dxa"/>
            <w:noWrap w:val="0"/>
            <w:vAlign w:val="center"/>
          </w:tcPr>
          <w:p w14:paraId="66B9EB16">
            <w:pPr>
              <w:spacing w:line="480" w:lineRule="auto"/>
              <w:jc w:val="center"/>
              <w:rPr>
                <w:rFonts w:hint="eastAsia" w:ascii="宋体" w:hAnsi="宋体" w:eastAsia="宋体" w:cs="宋体"/>
                <w:spacing w:val="6"/>
                <w:sz w:val="24"/>
              </w:rPr>
            </w:pPr>
          </w:p>
        </w:tc>
      </w:tr>
    </w:tbl>
    <w:p w14:paraId="2EFF46FE">
      <w:pPr>
        <w:pStyle w:val="12"/>
        <w:rPr>
          <w:rFonts w:hint="default"/>
          <w:lang w:val="en-US" w:eastAsia="zh-CN"/>
        </w:rPr>
      </w:pPr>
    </w:p>
    <w:p w14:paraId="46F844A4">
      <w:pPr>
        <w:bidi w:val="0"/>
        <w:rPr>
          <w:rFonts w:hint="default"/>
          <w:lang w:val="en-US" w:eastAsia="zh-CN"/>
        </w:rPr>
      </w:pPr>
    </w:p>
    <w:p w14:paraId="47E00D48">
      <w:pPr>
        <w:bidi w:val="0"/>
        <w:rPr>
          <w:rFonts w:hint="default"/>
          <w:lang w:val="en-US" w:eastAsia="zh-CN"/>
        </w:rPr>
      </w:pPr>
    </w:p>
    <w:p w14:paraId="0A7F7B86">
      <w:pPr>
        <w:bidi w:val="0"/>
        <w:rPr>
          <w:rFonts w:hint="default"/>
          <w:lang w:val="en-US" w:eastAsia="zh-CN"/>
        </w:rPr>
      </w:pPr>
    </w:p>
    <w:p w14:paraId="77BAB7D4">
      <w:pPr>
        <w:jc w:val="center"/>
        <w:rPr>
          <w:rFonts w:hint="eastAsia"/>
          <w:sz w:val="28"/>
          <w:szCs w:val="28"/>
          <w:lang w:val="en-US" w:eastAsia="zh-CN"/>
        </w:rPr>
      </w:pPr>
    </w:p>
    <w:p w14:paraId="145D8CEB">
      <w:pPr>
        <w:keepNext w:val="0"/>
        <w:keepLines w:val="0"/>
        <w:pageBreakBefore w:val="0"/>
        <w:widowControl w:val="0"/>
        <w:kinsoku/>
        <w:wordWrap/>
        <w:overflowPunct/>
        <w:topLinePunct w:val="0"/>
        <w:autoSpaceDE/>
        <w:autoSpaceDN/>
        <w:bidi w:val="0"/>
        <w:adjustRightInd w:val="0"/>
        <w:snapToGrid w:val="0"/>
        <w:spacing w:before="469" w:beforeLines="150" w:after="157" w:afterLines="50"/>
        <w:jc w:val="center"/>
        <w:textAlignment w:val="auto"/>
        <w:rPr>
          <w:rFonts w:hint="default"/>
          <w:lang w:val="en-US" w:eastAsia="zh-CN"/>
        </w:rPr>
      </w:pPr>
      <w:r>
        <w:rPr>
          <w:rFonts w:hint="default"/>
          <w:lang w:val="en-US" w:eastAsia="zh-CN"/>
        </w:rPr>
        <w:drawing>
          <wp:inline distT="0" distB="0" distL="114300" distR="114300">
            <wp:extent cx="4895850" cy="6734175"/>
            <wp:effectExtent l="0" t="0" r="0" b="9525"/>
            <wp:docPr id="3" name="图片 3" descr="173465968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4659689438"/>
                    <pic:cNvPicPr>
                      <a:picLocks noChangeAspect="1"/>
                    </pic:cNvPicPr>
                  </pic:nvPicPr>
                  <pic:blipFill>
                    <a:blip r:embed="rId4"/>
                    <a:stretch>
                      <a:fillRect/>
                    </a:stretch>
                  </pic:blipFill>
                  <pic:spPr>
                    <a:xfrm>
                      <a:off x="0" y="0"/>
                      <a:ext cx="4895850" cy="6734175"/>
                    </a:xfrm>
                    <a:prstGeom prst="rect">
                      <a:avLst/>
                    </a:prstGeom>
                  </pic:spPr>
                </pic:pic>
              </a:graphicData>
            </a:graphic>
          </wp:inline>
        </w:drawing>
      </w:r>
      <w:bookmarkStart w:id="70" w:name="_GoBack"/>
      <w:r>
        <w:rPr>
          <w:rFonts w:hint="default"/>
          <w:lang w:val="en-US" w:eastAsia="zh-CN"/>
        </w:rPr>
        <w:drawing>
          <wp:inline distT="0" distB="0" distL="114300" distR="114300">
            <wp:extent cx="4238625" cy="6115050"/>
            <wp:effectExtent l="0" t="0" r="9525" b="0"/>
            <wp:docPr id="4" name="图片 4" descr="17346597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4659701490"/>
                    <pic:cNvPicPr>
                      <a:picLocks noChangeAspect="1"/>
                    </pic:cNvPicPr>
                  </pic:nvPicPr>
                  <pic:blipFill>
                    <a:blip r:embed="rId5"/>
                    <a:stretch>
                      <a:fillRect/>
                    </a:stretch>
                  </pic:blipFill>
                  <pic:spPr>
                    <a:xfrm>
                      <a:off x="0" y="0"/>
                      <a:ext cx="4238625" cy="6115050"/>
                    </a:xfrm>
                    <a:prstGeom prst="rect">
                      <a:avLst/>
                    </a:prstGeom>
                  </pic:spPr>
                </pic:pic>
              </a:graphicData>
            </a:graphic>
          </wp:inline>
        </w:drawing>
      </w:r>
      <w:bookmarkEnd w:id="70"/>
    </w:p>
    <w:p w14:paraId="370D4C61">
      <w:pPr>
        <w:bidi w:val="0"/>
        <w:jc w:val="center"/>
        <w:rPr>
          <w:rFonts w:hint="default"/>
          <w:lang w:val="en-US" w:eastAsia="zh-CN"/>
        </w:rPr>
      </w:pPr>
      <w:r>
        <w:rPr>
          <w:rFonts w:hint="default"/>
          <w:lang w:val="en-US" w:eastAsia="zh-CN"/>
        </w:rPr>
        <w:drawing>
          <wp:inline distT="0" distB="0" distL="114300" distR="114300">
            <wp:extent cx="5721985" cy="4291330"/>
            <wp:effectExtent l="0" t="0" r="12065" b="13970"/>
            <wp:docPr id="6" name="图片 6" descr="IMG_20241113_10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113_101757"/>
                    <pic:cNvPicPr>
                      <a:picLocks noChangeAspect="1"/>
                    </pic:cNvPicPr>
                  </pic:nvPicPr>
                  <pic:blipFill>
                    <a:blip r:embed="rId6"/>
                    <a:stretch>
                      <a:fillRect/>
                    </a:stretch>
                  </pic:blipFill>
                  <pic:spPr>
                    <a:xfrm>
                      <a:off x="0" y="0"/>
                      <a:ext cx="5721985" cy="4291330"/>
                    </a:xfrm>
                    <a:prstGeom prst="rect">
                      <a:avLst/>
                    </a:prstGeom>
                  </pic:spPr>
                </pic:pic>
              </a:graphicData>
            </a:graphic>
          </wp:inline>
        </w:drawing>
      </w:r>
      <w:r>
        <w:rPr>
          <w:rFonts w:hint="default"/>
          <w:lang w:val="en-US" w:eastAsia="zh-CN"/>
        </w:rPr>
        <w:drawing>
          <wp:inline distT="0" distB="0" distL="114300" distR="114300">
            <wp:extent cx="5721985" cy="4291330"/>
            <wp:effectExtent l="0" t="0" r="12065" b="13970"/>
            <wp:docPr id="5" name="图片 5" descr="IMG_20241113_10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113_101837"/>
                    <pic:cNvPicPr>
                      <a:picLocks noChangeAspect="1"/>
                    </pic:cNvPicPr>
                  </pic:nvPicPr>
                  <pic:blipFill>
                    <a:blip r:embed="rId7"/>
                    <a:stretch>
                      <a:fillRect/>
                    </a:stretch>
                  </pic:blipFill>
                  <pic:spPr>
                    <a:xfrm>
                      <a:off x="0" y="0"/>
                      <a:ext cx="5721985" cy="429133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8D48F6"/>
    <w:rsid w:val="09D5345C"/>
    <w:rsid w:val="0A1C5EDC"/>
    <w:rsid w:val="0A27015B"/>
    <w:rsid w:val="0A5D5908"/>
    <w:rsid w:val="0BD51C61"/>
    <w:rsid w:val="0EDC1223"/>
    <w:rsid w:val="12386C7D"/>
    <w:rsid w:val="13D12EE6"/>
    <w:rsid w:val="153C4810"/>
    <w:rsid w:val="16BC1C2B"/>
    <w:rsid w:val="1C4A2E55"/>
    <w:rsid w:val="1DE92E23"/>
    <w:rsid w:val="1E1E483E"/>
    <w:rsid w:val="1EC3003E"/>
    <w:rsid w:val="1FF73CD4"/>
    <w:rsid w:val="21465BA2"/>
    <w:rsid w:val="22CB7136"/>
    <w:rsid w:val="27595274"/>
    <w:rsid w:val="284F788D"/>
    <w:rsid w:val="2A9D36CA"/>
    <w:rsid w:val="2E5E68CC"/>
    <w:rsid w:val="2EC41433"/>
    <w:rsid w:val="2F917EEC"/>
    <w:rsid w:val="31297B3A"/>
    <w:rsid w:val="355F439E"/>
    <w:rsid w:val="35CC29B8"/>
    <w:rsid w:val="361E3E5D"/>
    <w:rsid w:val="37A6654A"/>
    <w:rsid w:val="38B36882"/>
    <w:rsid w:val="3BB85D78"/>
    <w:rsid w:val="3C176B62"/>
    <w:rsid w:val="420C1409"/>
    <w:rsid w:val="4706325F"/>
    <w:rsid w:val="47290367"/>
    <w:rsid w:val="48FE4AE5"/>
    <w:rsid w:val="4ECC7680"/>
    <w:rsid w:val="4F5D6EDB"/>
    <w:rsid w:val="52FF4A33"/>
    <w:rsid w:val="537F016A"/>
    <w:rsid w:val="53A35965"/>
    <w:rsid w:val="55665FD9"/>
    <w:rsid w:val="563D798B"/>
    <w:rsid w:val="567C6788"/>
    <w:rsid w:val="579A241E"/>
    <w:rsid w:val="58840D76"/>
    <w:rsid w:val="5C8B1D2D"/>
    <w:rsid w:val="5D511379"/>
    <w:rsid w:val="60FB542C"/>
    <w:rsid w:val="636808F8"/>
    <w:rsid w:val="64C51278"/>
    <w:rsid w:val="64FD4259"/>
    <w:rsid w:val="6AD40467"/>
    <w:rsid w:val="6B3179BA"/>
    <w:rsid w:val="6BF95CAB"/>
    <w:rsid w:val="6C4D48B3"/>
    <w:rsid w:val="6D0669CA"/>
    <w:rsid w:val="6FDF53A7"/>
    <w:rsid w:val="717A11AE"/>
    <w:rsid w:val="72FD2CFB"/>
    <w:rsid w:val="74AE7C8C"/>
    <w:rsid w:val="74C506A8"/>
    <w:rsid w:val="76511CAD"/>
    <w:rsid w:val="77285FE2"/>
    <w:rsid w:val="7772596D"/>
    <w:rsid w:val="788E5851"/>
    <w:rsid w:val="7AB02F22"/>
    <w:rsid w:val="7C9C2DAE"/>
    <w:rsid w:val="7DD14549"/>
    <w:rsid w:val="7F34107C"/>
    <w:rsid w:val="7F6850C5"/>
    <w:rsid w:val="7F71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 w:type="character" w:customStyle="1" w:styleId="24">
    <w:name w:val="style71"/>
    <w:basedOn w:val="10"/>
    <w:qFormat/>
    <w:uiPriority w:val="0"/>
    <w:rPr>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3873</Words>
  <Characters>4390</Characters>
  <Lines>0</Lines>
  <Paragraphs>0</Paragraphs>
  <TotalTime>1</TotalTime>
  <ScaleCrop>false</ScaleCrop>
  <LinksUpToDate>false</LinksUpToDate>
  <CharactersWithSpaces>4769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2024-12-20T01:55:55Z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64A48CC75B534D1DA0269182ECBF6851_13</vt:lpwstr>
  </property>
  <property fmtid="{D5CDD505-2E9C-101B-9397-08002B2CF9AE}" pid="4" name="KSOTemplateDocerSaveRecord">
    <vt:lpwstr>eyJoZGlkIjoiZjE3OTA5MjhjYzFkNzA1MTExN2Y4Y2VmYWI1OTZiZjUiLCJ1c2VySWQiOiI0NDUyNjk3NzEifQ==</vt:lpwstr>
  </property>
</Properties>
</file>