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东平县泰鑫</w:t>
      </w:r>
      <w:r>
        <w:rPr>
          <w:rFonts w:hint="eastAsia" w:ascii="黑体" w:hAnsi="黑体" w:eastAsia="黑体" w:cs="黑体"/>
          <w:spacing w:val="-1"/>
          <w:sz w:val="28"/>
          <w:szCs w:val="28"/>
          <w:lang w:eastAsia="zh-CN"/>
        </w:rPr>
        <w:t>加油站</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10"/>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9"/>
              <w:spacing w:before="213" w:line="228" w:lineRule="auto"/>
              <w:ind w:left="120"/>
            </w:pPr>
            <w:r>
              <w:rPr>
                <w:spacing w:val="6"/>
              </w:rPr>
              <w:t>项目名称</w:t>
            </w:r>
          </w:p>
        </w:tc>
        <w:tc>
          <w:tcPr>
            <w:tcW w:w="7774" w:type="dxa"/>
            <w:gridSpan w:val="4"/>
            <w:vAlign w:val="center"/>
          </w:tcPr>
          <w:p w14:paraId="50A5A161">
            <w:pPr>
              <w:pStyle w:val="9"/>
              <w:spacing w:before="57" w:line="261" w:lineRule="auto"/>
              <w:ind w:right="318"/>
              <w:jc w:val="center"/>
            </w:pPr>
            <w:r>
              <w:rPr>
                <w:rFonts w:hint="eastAsia"/>
                <w:spacing w:val="9"/>
                <w:lang w:val="en-US" w:eastAsia="zh-CN"/>
              </w:rPr>
              <w:t>东平县泰鑫</w:t>
            </w:r>
            <w:r>
              <w:rPr>
                <w:rFonts w:hint="eastAsia"/>
                <w:spacing w:val="9"/>
                <w:lang w:eastAsia="zh-CN"/>
              </w:rPr>
              <w:t>加油站</w:t>
            </w: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9"/>
              <w:spacing w:before="65" w:line="227" w:lineRule="auto"/>
              <w:ind w:left="120"/>
            </w:pPr>
            <w:r>
              <w:rPr>
                <w:spacing w:val="6"/>
              </w:rPr>
              <w:t>项目简介</w:t>
            </w:r>
          </w:p>
        </w:tc>
        <w:tc>
          <w:tcPr>
            <w:tcW w:w="7774" w:type="dxa"/>
            <w:gridSpan w:val="4"/>
            <w:vAlign w:val="top"/>
          </w:tcPr>
          <w:p w14:paraId="07F33951">
            <w:pPr>
              <w:pStyle w:val="9"/>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罩棚、油罐区、加油区等。加油区在站房东侧，现有罩棚下设置2台四枪加油机（1台四枪柴油加油机，1台双枪92#汽油、双枪95#汽油加油机），均为自吸式；油罐区位于站房北侧非车行道下方，现有3台30m³埋地双层储罐（1台92#汽油罐、1台95#汽油罐，1台柴油罐），3台油罐均安装了液位仪、检漏仪；汽油、柴油卸油口位于罐区东侧；通气管5根位于罐区北侧（其中1根已废弃），该站设有三次油气回收系统，包括卸油油气回收系统、加油油气回收系统、油气回收处理系统；按《汽车加油加气加氢站技术标准》GB50156-2021标准规定：油罐总储量为90m³，柴油储罐容积折半计入总容积为75m³，该站属三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9"/>
              <w:spacing w:before="303" w:line="226" w:lineRule="auto"/>
              <w:ind w:left="516"/>
            </w:pPr>
            <w:r>
              <w:rPr>
                <w:spacing w:val="7"/>
              </w:rPr>
              <w:t>评价人员</w:t>
            </w:r>
          </w:p>
        </w:tc>
        <w:tc>
          <w:tcPr>
            <w:tcW w:w="5163" w:type="dxa"/>
            <w:gridSpan w:val="2"/>
            <w:vAlign w:val="top"/>
          </w:tcPr>
          <w:p w14:paraId="2BFFD54D">
            <w:pPr>
              <w:pStyle w:val="9"/>
              <w:spacing w:before="303" w:line="228" w:lineRule="auto"/>
              <w:ind w:left="2273"/>
            </w:pPr>
            <w:r>
              <w:t>姓</w:t>
            </w:r>
            <w:r>
              <w:rPr>
                <w:spacing w:val="10"/>
              </w:rPr>
              <w:t xml:space="preserve">  </w:t>
            </w:r>
            <w:r>
              <w:t>名</w:t>
            </w:r>
          </w:p>
        </w:tc>
        <w:tc>
          <w:tcPr>
            <w:tcW w:w="1928" w:type="dxa"/>
            <w:vAlign w:val="top"/>
          </w:tcPr>
          <w:p w14:paraId="7E0C50CA">
            <w:pPr>
              <w:pStyle w:val="9"/>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9"/>
              <w:spacing w:before="101" w:line="228" w:lineRule="auto"/>
              <w:ind w:left="415"/>
            </w:pPr>
            <w:r>
              <w:rPr>
                <w:spacing w:val="7"/>
              </w:rPr>
              <w:t>项目负责人</w:t>
            </w:r>
          </w:p>
        </w:tc>
        <w:tc>
          <w:tcPr>
            <w:tcW w:w="5163" w:type="dxa"/>
            <w:gridSpan w:val="2"/>
            <w:vAlign w:val="top"/>
          </w:tcPr>
          <w:p w14:paraId="7F1DFC3C">
            <w:pPr>
              <w:pStyle w:val="9"/>
              <w:spacing w:before="101" w:line="228" w:lineRule="auto"/>
              <w:ind w:left="2280"/>
            </w:pPr>
            <w:r>
              <w:rPr>
                <w:rFonts w:hint="eastAsia"/>
                <w:spacing w:val="7"/>
                <w:lang w:val="en-US" w:eastAsia="zh-CN"/>
              </w:rPr>
              <w:t>辛 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9"/>
              <w:spacing w:before="65" w:line="228" w:lineRule="auto"/>
              <w:ind w:left="415"/>
            </w:pPr>
            <w:r>
              <w:rPr>
                <w:spacing w:val="7"/>
              </w:rPr>
              <w:t>项目组成员</w:t>
            </w:r>
          </w:p>
        </w:tc>
        <w:tc>
          <w:tcPr>
            <w:tcW w:w="5163" w:type="dxa"/>
            <w:gridSpan w:val="2"/>
            <w:vAlign w:val="top"/>
          </w:tcPr>
          <w:p w14:paraId="1B2595E1">
            <w:pPr>
              <w:pStyle w:val="9"/>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9"/>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9"/>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9"/>
              <w:spacing w:before="132" w:line="228" w:lineRule="auto"/>
              <w:ind w:left="2273"/>
              <w:rPr>
                <w:rFonts w:hint="eastAsia" w:eastAsia="宋体"/>
                <w:lang w:eastAsia="zh-CN"/>
              </w:rPr>
            </w:pPr>
            <w:r>
              <w:rPr>
                <w:rFonts w:hint="eastAsia"/>
                <w:spacing w:val="6"/>
                <w:lang w:val="en-US" w:eastAsia="zh-CN"/>
              </w:rPr>
              <w:t>赵云峰</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9"/>
              <w:spacing w:before="95" w:line="226" w:lineRule="auto"/>
              <w:ind w:left="410"/>
            </w:pPr>
            <w:r>
              <w:rPr>
                <w:spacing w:val="8"/>
              </w:rPr>
              <w:t>报告编制人</w:t>
            </w:r>
          </w:p>
        </w:tc>
        <w:tc>
          <w:tcPr>
            <w:tcW w:w="5163" w:type="dxa"/>
            <w:gridSpan w:val="2"/>
            <w:vAlign w:val="top"/>
          </w:tcPr>
          <w:p w14:paraId="4EE98977">
            <w:pPr>
              <w:pStyle w:val="9"/>
              <w:spacing w:before="96" w:line="228" w:lineRule="auto"/>
              <w:ind w:left="2280"/>
              <w:rPr>
                <w:rFonts w:hint="default" w:eastAsia="宋体"/>
                <w:lang w:val="en-US" w:eastAsia="zh-CN"/>
              </w:rPr>
            </w:pPr>
            <w:r>
              <w:rPr>
                <w:rFonts w:hint="eastAsia"/>
                <w:lang w:val="en-US" w:eastAsia="zh-CN"/>
              </w:rPr>
              <w:t>辛  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9"/>
              <w:spacing w:before="97" w:line="226" w:lineRule="auto"/>
              <w:ind w:left="410"/>
            </w:pPr>
            <w:r>
              <w:rPr>
                <w:spacing w:val="8"/>
              </w:rPr>
              <w:t>报告审核人</w:t>
            </w:r>
          </w:p>
        </w:tc>
        <w:tc>
          <w:tcPr>
            <w:tcW w:w="5163" w:type="dxa"/>
            <w:gridSpan w:val="2"/>
            <w:vAlign w:val="top"/>
          </w:tcPr>
          <w:p w14:paraId="007E677D">
            <w:pPr>
              <w:pStyle w:val="9"/>
              <w:spacing w:before="97" w:line="229" w:lineRule="auto"/>
              <w:ind w:left="2376"/>
              <w:rPr>
                <w:rFonts w:hint="eastAsia" w:eastAsia="宋体"/>
                <w:lang w:eastAsia="zh-CN"/>
              </w:rPr>
            </w:pPr>
            <w:r>
              <w:rPr>
                <w:rFonts w:hint="eastAsia"/>
                <w:spacing w:val="4"/>
                <w:lang w:val="en-US" w:eastAsia="zh-CN"/>
              </w:rPr>
              <w:t>赵燕</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9"/>
              <w:spacing w:before="110" w:line="228" w:lineRule="auto"/>
              <w:ind w:left="203"/>
            </w:pPr>
            <w:r>
              <w:rPr>
                <w:spacing w:val="8"/>
              </w:rPr>
              <w:t>过程控制负责人</w:t>
            </w:r>
          </w:p>
        </w:tc>
        <w:tc>
          <w:tcPr>
            <w:tcW w:w="5163" w:type="dxa"/>
            <w:gridSpan w:val="2"/>
            <w:vAlign w:val="top"/>
          </w:tcPr>
          <w:p w14:paraId="157CCBC9">
            <w:pPr>
              <w:pStyle w:val="9"/>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9"/>
              <w:spacing w:before="96" w:line="228" w:lineRule="auto"/>
              <w:ind w:left="412"/>
            </w:pPr>
            <w:r>
              <w:rPr>
                <w:spacing w:val="7"/>
              </w:rPr>
              <w:t>技术负责人</w:t>
            </w:r>
          </w:p>
        </w:tc>
        <w:tc>
          <w:tcPr>
            <w:tcW w:w="5163" w:type="dxa"/>
            <w:gridSpan w:val="2"/>
            <w:vAlign w:val="top"/>
          </w:tcPr>
          <w:p w14:paraId="626DB1B1">
            <w:pPr>
              <w:pStyle w:val="9"/>
              <w:spacing w:before="96" w:line="228" w:lineRule="auto"/>
              <w:ind w:left="2272"/>
              <w:rPr>
                <w:rFonts w:hint="eastAsia" w:eastAsia="宋体"/>
                <w:lang w:eastAsia="zh-CN"/>
              </w:rPr>
            </w:pPr>
            <w:r>
              <w:rPr>
                <w:rFonts w:hint="eastAsia"/>
                <w:spacing w:val="7"/>
                <w:lang w:val="en-US" w:eastAsia="zh-CN"/>
              </w:rPr>
              <w:t>孙虎</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9"/>
              <w:spacing w:before="263" w:line="228" w:lineRule="auto"/>
              <w:ind w:left="518"/>
            </w:pPr>
            <w:r>
              <w:rPr>
                <w:spacing w:val="7"/>
              </w:rPr>
              <w:t>技术专家</w:t>
            </w:r>
          </w:p>
          <w:p w14:paraId="1D7CFC9B">
            <w:pPr>
              <w:pStyle w:val="9"/>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9"/>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9"/>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9"/>
              <w:spacing w:before="96" w:line="228" w:lineRule="auto"/>
              <w:ind w:left="1027"/>
            </w:pPr>
            <w:r>
              <w:rPr>
                <w:spacing w:val="7"/>
              </w:rPr>
              <w:t>到现场主要人员</w:t>
            </w:r>
          </w:p>
        </w:tc>
        <w:tc>
          <w:tcPr>
            <w:tcW w:w="1928" w:type="dxa"/>
            <w:vAlign w:val="top"/>
          </w:tcPr>
          <w:p w14:paraId="5D4B95EA">
            <w:pPr>
              <w:pStyle w:val="9"/>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5.2.15</w:t>
            </w:r>
          </w:p>
        </w:tc>
        <w:tc>
          <w:tcPr>
            <w:tcW w:w="3501" w:type="dxa"/>
            <w:vAlign w:val="top"/>
          </w:tcPr>
          <w:p w14:paraId="4B9D466E">
            <w:pPr>
              <w:pStyle w:val="9"/>
              <w:spacing w:before="130" w:line="227" w:lineRule="auto"/>
              <w:ind w:left="121"/>
            </w:pPr>
            <w:r>
              <w:rPr>
                <w:rFonts w:hint="eastAsia"/>
                <w:spacing w:val="4"/>
                <w:lang w:val="en-US" w:eastAsia="zh-CN"/>
              </w:rPr>
              <w:t>辛磊</w:t>
            </w:r>
            <w:r>
              <w:rPr>
                <w:spacing w:val="11"/>
              </w:rPr>
              <w:t xml:space="preserve">  </w:t>
            </w:r>
            <w:r>
              <w:rPr>
                <w:spacing w:val="4"/>
              </w:rPr>
              <w:t>王静</w:t>
            </w:r>
          </w:p>
        </w:tc>
        <w:tc>
          <w:tcPr>
            <w:tcW w:w="1928" w:type="dxa"/>
            <w:vAlign w:val="top"/>
          </w:tcPr>
          <w:p w14:paraId="7D020708">
            <w:pPr>
              <w:pStyle w:val="9"/>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4.1</w:t>
            </w:r>
          </w:p>
        </w:tc>
        <w:tc>
          <w:tcPr>
            <w:tcW w:w="3501" w:type="dxa"/>
            <w:vAlign w:val="top"/>
          </w:tcPr>
          <w:p w14:paraId="17887980">
            <w:pPr>
              <w:pStyle w:val="9"/>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9"/>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5.4.10</w:t>
            </w:r>
          </w:p>
        </w:tc>
        <w:tc>
          <w:tcPr>
            <w:tcW w:w="3501" w:type="dxa"/>
            <w:vAlign w:val="top"/>
          </w:tcPr>
          <w:p w14:paraId="305B2291">
            <w:pPr>
              <w:pStyle w:val="9"/>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9"/>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9"/>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w:t>
            </w:r>
            <w:r>
              <w:rPr>
                <w:rFonts w:hint="eastAsia" w:ascii="Times New Roman" w:hAnsi="Times New Roman" w:eastAsia="宋体" w:cs="Times New Roman"/>
                <w:spacing w:val="6"/>
                <w:lang w:val="en-US" w:eastAsia="zh-CN"/>
              </w:rPr>
              <w:t>5.4.18</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9"/>
              <w:spacing w:before="111" w:line="228" w:lineRule="auto"/>
              <w:ind w:left="117"/>
            </w:pPr>
            <w:r>
              <w:rPr>
                <w:spacing w:val="8"/>
              </w:rPr>
              <w:t>有必要公开的其它内容：</w:t>
            </w:r>
          </w:p>
        </w:tc>
      </w:tr>
    </w:tbl>
    <w:p w14:paraId="059A2321">
      <w:pPr>
        <w:pStyle w:val="4"/>
        <w:ind w:left="0" w:leftChars="0" w:firstLine="0" w:firstLineChars="0"/>
        <w:rPr>
          <w:rFonts w:hint="default" w:eastAsia="宋体"/>
          <w:lang w:val="en-US" w:eastAsia="zh-CN"/>
        </w:rPr>
      </w:pPr>
    </w:p>
    <w:p w14:paraId="2CDE0619">
      <w:pPr>
        <w:pStyle w:val="4"/>
        <w:ind w:left="0" w:leftChars="0" w:firstLine="0" w:firstLineChars="0"/>
        <w:rPr>
          <w:rFonts w:hint="eastAsia" w:eastAsia="宋体"/>
          <w:lang w:eastAsia="zh-CN"/>
        </w:rPr>
      </w:pPr>
    </w:p>
    <w:p w14:paraId="7D5A2701">
      <w:pPr>
        <w:pStyle w:val="4"/>
        <w:rPr>
          <w:rFonts w:hint="eastAsia" w:eastAsia="宋体"/>
          <w:lang w:eastAsia="zh-CN"/>
        </w:rPr>
      </w:pPr>
      <w:r>
        <w:rPr>
          <w:rFonts w:hint="eastAsia" w:eastAsia="宋体"/>
          <w:lang w:eastAsia="zh-CN"/>
        </w:rPr>
        <w:drawing>
          <wp:inline distT="0" distB="0" distL="114300" distR="114300">
            <wp:extent cx="5969635" cy="8667115"/>
            <wp:effectExtent l="0" t="0" r="12065" b="635"/>
            <wp:docPr id="9" name="图片 9" descr="249c473f4caa83a0cc829acfdd06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9c473f4caa83a0cc829acfdd066b0"/>
                    <pic:cNvPicPr>
                      <a:picLocks noChangeAspect="1"/>
                    </pic:cNvPicPr>
                  </pic:nvPicPr>
                  <pic:blipFill>
                    <a:blip r:embed="rId6"/>
                    <a:stretch>
                      <a:fillRect/>
                    </a:stretch>
                  </pic:blipFill>
                  <pic:spPr>
                    <a:xfrm>
                      <a:off x="0" y="0"/>
                      <a:ext cx="5969635" cy="8667115"/>
                    </a:xfrm>
                    <a:prstGeom prst="rect">
                      <a:avLst/>
                    </a:prstGeom>
                  </pic:spPr>
                </pic:pic>
              </a:graphicData>
            </a:graphic>
          </wp:inline>
        </w:drawing>
      </w:r>
    </w:p>
    <w:p w14:paraId="403422E9">
      <w:pPr>
        <w:pStyle w:val="4"/>
        <w:rPr>
          <w:rFonts w:hint="eastAsia" w:eastAsia="宋体"/>
          <w:lang w:eastAsia="zh-CN"/>
        </w:rPr>
      </w:pPr>
    </w:p>
    <w:p w14:paraId="43F12F0F">
      <w:pPr>
        <w:pStyle w:val="4"/>
        <w:rPr>
          <w:rFonts w:hint="eastAsia" w:eastAsia="宋体"/>
          <w:lang w:eastAsia="zh-CN"/>
        </w:rPr>
      </w:pPr>
    </w:p>
    <w:p w14:paraId="049B8F30">
      <w:pPr>
        <w:pStyle w:val="4"/>
        <w:rPr>
          <w:rFonts w:hint="eastAsia" w:eastAsia="宋体"/>
          <w:lang w:eastAsia="zh-CN"/>
        </w:rPr>
      </w:pPr>
    </w:p>
    <w:p w14:paraId="472F9B23">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969635" cy="8550275"/>
            <wp:effectExtent l="0" t="0" r="12065" b="3175"/>
            <wp:docPr id="8" name="图片 8" descr="4aed70823426c1a135f64fae013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aed70823426c1a135f64fae0136988"/>
                    <pic:cNvPicPr>
                      <a:picLocks noChangeAspect="1"/>
                    </pic:cNvPicPr>
                  </pic:nvPicPr>
                  <pic:blipFill>
                    <a:blip r:embed="rId7"/>
                    <a:stretch>
                      <a:fillRect/>
                    </a:stretch>
                  </pic:blipFill>
                  <pic:spPr>
                    <a:xfrm>
                      <a:off x="0" y="0"/>
                      <a:ext cx="5969635" cy="8550275"/>
                    </a:xfrm>
                    <a:prstGeom prst="rect">
                      <a:avLst/>
                    </a:prstGeom>
                  </pic:spPr>
                </pic:pic>
              </a:graphicData>
            </a:graphic>
          </wp:inline>
        </w:drawing>
      </w:r>
    </w:p>
    <w:p w14:paraId="008CC86F">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974080" cy="8512810"/>
            <wp:effectExtent l="0" t="0" r="7620" b="2540"/>
            <wp:docPr id="10" name="图片 10" descr="3ece18ea1cd9122e2d89edd877a9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ece18ea1cd9122e2d89edd877a930f"/>
                    <pic:cNvPicPr>
                      <a:picLocks noChangeAspect="1"/>
                    </pic:cNvPicPr>
                  </pic:nvPicPr>
                  <pic:blipFill>
                    <a:blip r:embed="rId8"/>
                    <a:stretch>
                      <a:fillRect/>
                    </a:stretch>
                  </pic:blipFill>
                  <pic:spPr>
                    <a:xfrm>
                      <a:off x="0" y="0"/>
                      <a:ext cx="5974080" cy="8512810"/>
                    </a:xfrm>
                    <a:prstGeom prst="rect">
                      <a:avLst/>
                    </a:prstGeom>
                  </pic:spPr>
                </pic:pic>
              </a:graphicData>
            </a:graphic>
          </wp:inline>
        </w:drawing>
      </w:r>
    </w:p>
    <w:p w14:paraId="5C9E3DD9">
      <w:pPr>
        <w:pStyle w:val="12"/>
        <w:widowControl w:val="0"/>
        <w:adjustRightInd w:val="0"/>
        <w:snapToGrid w:val="0"/>
        <w:spacing w:before="0" w:beforeLines="0" w:after="0" w:afterLines="0" w:line="360" w:lineRule="auto"/>
        <w:rPr>
          <w:color w:val="auto"/>
        </w:rPr>
      </w:pPr>
      <w:bookmarkStart w:id="0" w:name="_Toc102634226"/>
      <w:bookmarkStart w:id="1" w:name="_Toc102634395"/>
      <w:bookmarkStart w:id="2" w:name="_Toc102633969"/>
      <w:bookmarkStart w:id="3" w:name="_Toc15033742"/>
      <w:bookmarkStart w:id="4" w:name="_Toc102633895"/>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3970"/>
      <w:bookmarkStart w:id="6" w:name="_Toc102633896"/>
      <w:bookmarkStart w:id="7" w:name="_Toc102634396"/>
      <w:bookmarkStart w:id="8" w:name="_Toc15033743"/>
      <w:bookmarkStart w:id="9" w:name="_Toc102634227"/>
      <w:bookmarkStart w:id="10" w:name="_Toc30066"/>
      <w:bookmarkStart w:id="11" w:name="_Toc208733856"/>
      <w:bookmarkStart w:id="12" w:name="_Toc26504"/>
      <w:bookmarkStart w:id="13" w:name="_Toc272364524"/>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0957CBF7">
      <w:pPr>
        <w:adjustRightInd w:val="0"/>
        <w:snapToGrid w:val="0"/>
        <w:spacing w:line="360" w:lineRule="auto"/>
        <w:ind w:firstLine="560" w:firstLineChars="200"/>
        <w:rPr>
          <w:rFonts w:hint="eastAsia" w:ascii="宋体" w:hAnsi="宋体" w:eastAsia="宋体" w:cs="宋体"/>
          <w:color w:val="auto"/>
          <w:sz w:val="28"/>
          <w:szCs w:val="28"/>
          <w:highlight w:val="none"/>
        </w:rPr>
      </w:pPr>
      <w:bookmarkStart w:id="14" w:name="_Toc102634255"/>
      <w:bookmarkStart w:id="15" w:name="_Toc102633906"/>
      <w:bookmarkStart w:id="16" w:name="_Toc102634406"/>
      <w:bookmarkStart w:id="17" w:name="_Toc102633980"/>
      <w:r>
        <w:rPr>
          <w:rFonts w:hint="eastAsia" w:ascii="宋体" w:hAnsi="宋体" w:cs="宋体"/>
          <w:color w:val="auto"/>
          <w:sz w:val="28"/>
          <w:szCs w:val="28"/>
          <w:highlight w:val="none"/>
          <w:lang w:eastAsia="zh-CN"/>
        </w:rPr>
        <w:t>东平县泰鑫加油站</w:t>
      </w:r>
      <w:r>
        <w:rPr>
          <w:rFonts w:hint="eastAsia" w:ascii="宋体" w:hAnsi="宋体" w:eastAsia="宋体" w:cs="宋体"/>
          <w:color w:val="auto"/>
          <w:sz w:val="28"/>
          <w:szCs w:val="28"/>
          <w:highlight w:val="none"/>
        </w:rPr>
        <w:t>位于</w:t>
      </w:r>
      <w:r>
        <w:rPr>
          <w:rFonts w:hint="eastAsia" w:ascii="宋体" w:hAnsi="宋体"/>
          <w:color w:val="auto"/>
          <w:sz w:val="28"/>
          <w:highlight w:val="none"/>
          <w:lang w:eastAsia="zh-CN"/>
        </w:rPr>
        <w:t>山东省泰安市东平县旧县乡政府驻地220国道与旧姜路交界处</w:t>
      </w:r>
      <w:r>
        <w:rPr>
          <w:rFonts w:hint="eastAsia" w:ascii="宋体" w:hAnsi="宋体"/>
          <w:color w:val="auto"/>
          <w:sz w:val="28"/>
          <w:szCs w:val="28"/>
          <w:highlight w:val="none"/>
        </w:rPr>
        <w:t>，</w:t>
      </w:r>
      <w:r>
        <w:rPr>
          <w:rFonts w:hint="eastAsia" w:ascii="宋体" w:hAnsi="宋体"/>
          <w:color w:val="auto"/>
          <w:sz w:val="28"/>
          <w:szCs w:val="28"/>
          <w:highlight w:val="none"/>
          <w:lang w:eastAsia="zh-CN"/>
        </w:rPr>
        <w:t>加油站东侧</w:t>
      </w:r>
      <w:r>
        <w:rPr>
          <w:rFonts w:hint="eastAsia" w:ascii="宋体" w:hAnsi="宋体"/>
          <w:color w:val="auto"/>
          <w:sz w:val="28"/>
          <w:szCs w:val="28"/>
          <w:highlight w:val="none"/>
          <w:lang w:val="en-US" w:eastAsia="zh-CN"/>
        </w:rPr>
        <w:t>是220国道，西侧是树林，西南侧是架空电力线，南侧是旧姜路（乡道），</w:t>
      </w:r>
      <w:r>
        <w:rPr>
          <w:rFonts w:hint="eastAsia" w:ascii="宋体" w:hAnsi="宋体"/>
          <w:color w:val="auto"/>
          <w:sz w:val="28"/>
          <w:szCs w:val="28"/>
          <w:highlight w:val="none"/>
          <w:lang w:eastAsia="zh-CN"/>
        </w:rPr>
        <w:t>北侧是</w:t>
      </w:r>
      <w:r>
        <w:rPr>
          <w:rFonts w:hint="eastAsia" w:ascii="宋体" w:hAnsi="宋体"/>
          <w:color w:val="auto"/>
          <w:sz w:val="28"/>
          <w:szCs w:val="28"/>
          <w:highlight w:val="none"/>
          <w:lang w:val="en-US" w:eastAsia="zh-CN"/>
        </w:rPr>
        <w:t>民房。</w:t>
      </w:r>
      <w:r>
        <w:rPr>
          <w:rFonts w:hint="eastAsia" w:ascii="宋体" w:hAnsi="宋体" w:eastAsia="宋体" w:cs="宋体"/>
          <w:color w:val="auto"/>
          <w:sz w:val="28"/>
          <w:highlight w:val="none"/>
        </w:rPr>
        <w:t>该站经营许可范围为</w:t>
      </w:r>
      <w:r>
        <w:rPr>
          <w:rFonts w:hint="eastAsia" w:ascii="宋体" w:hAnsi="宋体" w:eastAsia="宋体" w:cs="宋体"/>
          <w:color w:val="auto"/>
          <w:sz w:val="28"/>
          <w:szCs w:val="28"/>
          <w:highlight w:val="none"/>
          <w:lang w:eastAsia="zh-CN"/>
        </w:rPr>
        <w:t>汽油、乙醇汽油</w:t>
      </w:r>
      <w:r>
        <w:rPr>
          <w:rFonts w:hint="eastAsia" w:ascii="宋体" w:hAnsi="宋体" w:eastAsia="宋体" w:cs="宋体"/>
          <w:color w:val="auto"/>
          <w:sz w:val="28"/>
          <w:highlight w:val="none"/>
        </w:rPr>
        <w:t>、柴油，现其主要经营储存</w:t>
      </w:r>
      <w:r>
        <w:rPr>
          <w:rFonts w:hint="eastAsia" w:ascii="宋体" w:hAnsi="宋体" w:eastAsia="宋体" w:cs="宋体"/>
          <w:color w:val="auto"/>
          <w:sz w:val="28"/>
          <w:highlight w:val="none"/>
          <w:lang w:eastAsia="zh-CN"/>
        </w:rPr>
        <w:t>汽油、乙醇汽油</w:t>
      </w:r>
      <w:r>
        <w:rPr>
          <w:rFonts w:hint="eastAsia" w:ascii="宋体" w:hAnsi="宋体" w:cs="宋体"/>
          <w:color w:val="auto"/>
          <w:sz w:val="28"/>
          <w:highlight w:val="none"/>
          <w:lang w:eastAsia="zh-CN"/>
        </w:rPr>
        <w:t>（</w:t>
      </w:r>
      <w:r>
        <w:rPr>
          <w:rFonts w:hint="eastAsia" w:ascii="宋体" w:hAnsi="宋体" w:cs="宋体"/>
          <w:color w:val="auto"/>
          <w:sz w:val="28"/>
          <w:highlight w:val="none"/>
          <w:lang w:val="en-US" w:eastAsia="zh-CN"/>
        </w:rPr>
        <w:t>暂未储存</w:t>
      </w:r>
      <w:r>
        <w:rPr>
          <w:rFonts w:hint="eastAsia" w:ascii="宋体" w:hAnsi="宋体" w:cs="宋体"/>
          <w:color w:val="auto"/>
          <w:sz w:val="28"/>
          <w:highlight w:val="none"/>
          <w:lang w:eastAsia="zh-CN"/>
        </w:rPr>
        <w:t>）</w:t>
      </w:r>
      <w:r>
        <w:rPr>
          <w:rFonts w:hint="eastAsia" w:ascii="宋体" w:hAnsi="宋体" w:eastAsia="宋体" w:cs="宋体"/>
          <w:color w:val="auto"/>
          <w:sz w:val="28"/>
          <w:highlight w:val="none"/>
        </w:rPr>
        <w:t>、0#柴油（换季销售-10#柴油）</w:t>
      </w:r>
      <w:r>
        <w:rPr>
          <w:rFonts w:hint="eastAsia" w:ascii="宋体" w:hAnsi="宋体" w:eastAsia="宋体" w:cs="宋体"/>
          <w:snapToGrid w:val="0"/>
          <w:color w:val="auto"/>
          <w:kern w:val="0"/>
          <w:sz w:val="28"/>
          <w:highlight w:val="none"/>
        </w:rPr>
        <w:t>。</w:t>
      </w:r>
      <w:r>
        <w:rPr>
          <w:rFonts w:hint="eastAsia" w:ascii="宋体" w:hAnsi="宋体" w:eastAsia="宋体" w:cs="宋体"/>
          <w:color w:val="auto"/>
          <w:sz w:val="28"/>
          <w:highlight w:val="none"/>
        </w:rPr>
        <w:t>此次现状评价报告与三年前报告相比，</w:t>
      </w:r>
      <w:r>
        <w:rPr>
          <w:rFonts w:hint="eastAsia" w:ascii="宋体" w:hAnsi="宋体" w:cs="宋体"/>
          <w:color w:val="auto"/>
          <w:sz w:val="28"/>
          <w:highlight w:val="none"/>
          <w:lang w:val="en-US" w:eastAsia="zh-CN"/>
        </w:rPr>
        <w:t>加油机处增加可燃气体探测器2套，罐区增加1台油气回收处理装置及1根通气管，洗车棚南侧增加一座丙类仓库，其余</w:t>
      </w:r>
      <w:r>
        <w:rPr>
          <w:rFonts w:hint="eastAsia" w:ascii="宋体" w:hAnsi="宋体" w:eastAsia="宋体" w:cs="宋体"/>
          <w:color w:val="auto"/>
          <w:sz w:val="28"/>
          <w:highlight w:val="none"/>
        </w:rPr>
        <w:t>周边环境、站内设备设施、主要建构</w:t>
      </w:r>
      <w:r>
        <w:rPr>
          <w:rFonts w:hint="eastAsia" w:ascii="宋体" w:hAnsi="宋体" w:eastAsia="宋体" w:cs="宋体"/>
          <w:color w:val="auto"/>
          <w:sz w:val="28"/>
          <w:szCs w:val="28"/>
          <w:highlight w:val="none"/>
        </w:rPr>
        <w:t>筑物</w:t>
      </w:r>
      <w:r>
        <w:rPr>
          <w:rFonts w:hint="eastAsia" w:ascii="宋体" w:hAnsi="宋体" w:cs="宋体"/>
          <w:color w:val="auto"/>
          <w:sz w:val="28"/>
          <w:szCs w:val="28"/>
          <w:highlight w:val="none"/>
          <w:lang w:val="en-US" w:eastAsia="zh-CN"/>
        </w:rPr>
        <w:t>均</w:t>
      </w:r>
      <w:r>
        <w:rPr>
          <w:rFonts w:hint="eastAsia" w:ascii="宋体" w:hAnsi="宋体" w:eastAsia="宋体" w:cs="宋体"/>
          <w:color w:val="auto"/>
          <w:sz w:val="28"/>
          <w:szCs w:val="28"/>
          <w:highlight w:val="none"/>
        </w:rPr>
        <w:t>未发生变化。</w:t>
      </w:r>
    </w:p>
    <w:p w14:paraId="10A5C1EE">
      <w:pPr>
        <w:pStyle w:val="11"/>
        <w:widowControl w:val="0"/>
        <w:adjustRightInd w:val="0"/>
        <w:snapToGrid w:val="0"/>
        <w:spacing w:line="360" w:lineRule="auto"/>
        <w:ind w:firstLine="560"/>
        <w:rPr>
          <w:rFonts w:hint="eastAsia" w:ascii="宋体" w:hAnsi="宋体" w:eastAsia="宋体" w:cs="宋体"/>
          <w:color w:val="auto"/>
          <w:kern w:val="2"/>
          <w:sz w:val="28"/>
          <w:szCs w:val="21"/>
          <w:highlight w:val="none"/>
          <w:lang w:val="en-US" w:eastAsia="zh-CN" w:bidi="ar-SA"/>
        </w:rPr>
      </w:pPr>
      <w:r>
        <w:rPr>
          <w:rFonts w:hint="eastAsia" w:ascii="宋体" w:hAnsi="宋体" w:eastAsia="宋体" w:cs="宋体"/>
          <w:color w:val="auto"/>
          <w:kern w:val="2"/>
          <w:sz w:val="28"/>
          <w:szCs w:val="21"/>
          <w:highlight w:val="none"/>
          <w:lang w:val="en-US" w:eastAsia="zh-CN" w:bidi="ar-SA"/>
        </w:rPr>
        <w:t>该加油站主要建有站房、罩棚、油罐区、加油区等。加油区在</w:t>
      </w:r>
      <w:r>
        <w:rPr>
          <w:rFonts w:hint="eastAsia" w:ascii="宋体" w:hAnsi="宋体" w:cs="宋体"/>
          <w:color w:val="auto"/>
          <w:kern w:val="2"/>
          <w:sz w:val="28"/>
          <w:szCs w:val="21"/>
          <w:highlight w:val="none"/>
          <w:lang w:val="en-US" w:eastAsia="zh-CN" w:bidi="ar-SA"/>
        </w:rPr>
        <w:t>站房东</w:t>
      </w:r>
      <w:r>
        <w:rPr>
          <w:rFonts w:hint="eastAsia" w:ascii="宋体" w:hAnsi="宋体" w:eastAsia="宋体" w:cs="宋体"/>
          <w:color w:val="auto"/>
          <w:kern w:val="2"/>
          <w:sz w:val="28"/>
          <w:szCs w:val="21"/>
          <w:highlight w:val="none"/>
          <w:lang w:val="en-US" w:eastAsia="zh-CN" w:bidi="ar-SA"/>
        </w:rPr>
        <w:t>侧，现有</w:t>
      </w:r>
      <w:r>
        <w:rPr>
          <w:rFonts w:hint="eastAsia"/>
          <w:color w:val="auto"/>
          <w:highlight w:val="none"/>
        </w:rPr>
        <w:t>罩棚下设置</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四</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加油机（1台四枪柴油加油机，1台双枪92#汽油、双枪95#汽油加油机）</w:t>
      </w:r>
      <w:r>
        <w:rPr>
          <w:rFonts w:hint="eastAsia" w:ascii="宋体" w:hAnsi="宋体" w:cs="宋体"/>
          <w:color w:val="auto"/>
          <w:kern w:val="2"/>
          <w:sz w:val="28"/>
          <w:szCs w:val="21"/>
          <w:highlight w:val="none"/>
          <w:lang w:val="en-US" w:eastAsia="zh-CN" w:bidi="ar-SA"/>
        </w:rPr>
        <w:t>，</w:t>
      </w:r>
      <w:r>
        <w:rPr>
          <w:rFonts w:hint="eastAsia" w:ascii="宋体" w:hAnsi="宋体" w:eastAsia="宋体" w:cs="宋体"/>
          <w:color w:val="auto"/>
          <w:kern w:val="2"/>
          <w:sz w:val="28"/>
          <w:szCs w:val="21"/>
          <w:highlight w:val="none"/>
          <w:lang w:val="en-US" w:eastAsia="zh-CN" w:bidi="ar-SA"/>
        </w:rPr>
        <w:t>均为自吸式；油罐区位于</w:t>
      </w:r>
      <w:r>
        <w:rPr>
          <w:rFonts w:hint="eastAsia" w:ascii="宋体" w:hAnsi="宋体" w:cs="宋体"/>
          <w:color w:val="auto"/>
          <w:kern w:val="2"/>
          <w:sz w:val="28"/>
          <w:szCs w:val="21"/>
          <w:highlight w:val="none"/>
          <w:lang w:val="en-US" w:eastAsia="zh-CN" w:bidi="ar-SA"/>
        </w:rPr>
        <w:t>站房北</w:t>
      </w:r>
      <w:r>
        <w:rPr>
          <w:rFonts w:hint="eastAsia" w:ascii="宋体" w:hAnsi="宋体" w:eastAsia="宋体" w:cs="宋体"/>
          <w:color w:val="auto"/>
          <w:kern w:val="2"/>
          <w:sz w:val="28"/>
          <w:szCs w:val="21"/>
          <w:highlight w:val="none"/>
          <w:lang w:val="en-US" w:eastAsia="zh-CN" w:bidi="ar-SA"/>
        </w:rPr>
        <w:t>侧</w:t>
      </w:r>
      <w:r>
        <w:rPr>
          <w:rFonts w:hint="eastAsia" w:ascii="宋体" w:hAnsi="宋体" w:cs="宋体"/>
          <w:color w:val="auto"/>
          <w:kern w:val="2"/>
          <w:sz w:val="28"/>
          <w:szCs w:val="21"/>
          <w:highlight w:val="none"/>
          <w:lang w:val="en-US" w:eastAsia="zh-CN" w:bidi="ar-SA"/>
        </w:rPr>
        <w:t>非</w:t>
      </w:r>
      <w:r>
        <w:rPr>
          <w:rFonts w:hint="eastAsia" w:ascii="宋体" w:hAnsi="宋体" w:eastAsia="宋体" w:cs="宋体"/>
          <w:color w:val="auto"/>
          <w:kern w:val="2"/>
          <w:sz w:val="28"/>
          <w:szCs w:val="21"/>
          <w:highlight w:val="none"/>
          <w:lang w:val="en-US" w:eastAsia="zh-CN" w:bidi="ar-SA"/>
        </w:rPr>
        <w:t>车行道下方，现有</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台</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0m³埋地双层储罐（</w:t>
      </w:r>
      <w:r>
        <w:rPr>
          <w:rFonts w:hint="eastAsia" w:ascii="宋体" w:hAnsi="宋体" w:cs="宋体"/>
          <w:color w:val="auto"/>
          <w:kern w:val="2"/>
          <w:sz w:val="28"/>
          <w:szCs w:val="21"/>
          <w:highlight w:val="none"/>
          <w:lang w:val="en-US" w:eastAsia="zh-CN" w:bidi="ar-SA"/>
        </w:rPr>
        <w:t>1台</w:t>
      </w:r>
      <w:r>
        <w:rPr>
          <w:rFonts w:hint="eastAsia" w:ascii="宋体" w:hAnsi="宋体" w:eastAsia="宋体" w:cs="宋体"/>
          <w:color w:val="auto"/>
          <w:kern w:val="2"/>
          <w:sz w:val="28"/>
          <w:szCs w:val="21"/>
          <w:highlight w:val="none"/>
          <w:lang w:val="en-US" w:eastAsia="zh-CN" w:bidi="ar-SA"/>
        </w:rPr>
        <w:t>9</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#汽油罐</w:t>
      </w:r>
      <w:r>
        <w:rPr>
          <w:rFonts w:hint="eastAsia" w:ascii="宋体" w:hAnsi="宋体" w:cs="宋体"/>
          <w:color w:val="auto"/>
          <w:kern w:val="2"/>
          <w:sz w:val="28"/>
          <w:szCs w:val="21"/>
          <w:highlight w:val="none"/>
          <w:lang w:val="en-US" w:eastAsia="zh-CN" w:bidi="ar-SA"/>
        </w:rPr>
        <w:t>、</w:t>
      </w:r>
      <w:r>
        <w:rPr>
          <w:rFonts w:hint="eastAsia" w:ascii="宋体" w:hAnsi="宋体" w:eastAsia="宋体" w:cs="宋体"/>
          <w:color w:val="auto"/>
          <w:kern w:val="2"/>
          <w:sz w:val="28"/>
          <w:szCs w:val="21"/>
          <w:highlight w:val="none"/>
          <w:lang w:val="en-US" w:eastAsia="zh-CN" w:bidi="ar-SA"/>
        </w:rPr>
        <w:t>1台95#汽油罐</w:t>
      </w:r>
      <w:r>
        <w:rPr>
          <w:rFonts w:hint="eastAsia" w:ascii="宋体" w:hAnsi="宋体" w:cs="宋体"/>
          <w:color w:val="auto"/>
          <w:kern w:val="2"/>
          <w:sz w:val="28"/>
          <w:szCs w:val="21"/>
          <w:highlight w:val="none"/>
          <w:lang w:val="en-US" w:eastAsia="zh-CN" w:bidi="ar-SA"/>
        </w:rPr>
        <w:t>，1台柴油罐</w:t>
      </w:r>
      <w:r>
        <w:rPr>
          <w:rFonts w:hint="eastAsia" w:ascii="宋体" w:hAnsi="宋体" w:eastAsia="宋体" w:cs="宋体"/>
          <w:color w:val="auto"/>
          <w:kern w:val="2"/>
          <w:sz w:val="28"/>
          <w:szCs w:val="21"/>
          <w:highlight w:val="none"/>
          <w:lang w:val="en-US" w:eastAsia="zh-CN" w:bidi="ar-SA"/>
        </w:rPr>
        <w:t>），</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台油罐均安装了液位仪、检漏仪；汽油、柴油卸油口位于罐区</w:t>
      </w:r>
      <w:r>
        <w:rPr>
          <w:rFonts w:hint="eastAsia" w:ascii="宋体" w:hAnsi="宋体" w:cs="宋体"/>
          <w:color w:val="auto"/>
          <w:kern w:val="2"/>
          <w:sz w:val="28"/>
          <w:szCs w:val="21"/>
          <w:highlight w:val="none"/>
          <w:lang w:val="en-US" w:eastAsia="zh-CN" w:bidi="ar-SA"/>
        </w:rPr>
        <w:t>东</w:t>
      </w:r>
      <w:r>
        <w:rPr>
          <w:rFonts w:hint="eastAsia" w:ascii="宋体" w:hAnsi="宋体" w:eastAsia="宋体" w:cs="宋体"/>
          <w:color w:val="auto"/>
          <w:kern w:val="2"/>
          <w:sz w:val="28"/>
          <w:szCs w:val="21"/>
          <w:highlight w:val="none"/>
          <w:lang w:val="en-US" w:eastAsia="zh-CN" w:bidi="ar-SA"/>
        </w:rPr>
        <w:t>侧；通气管</w:t>
      </w:r>
      <w:r>
        <w:rPr>
          <w:rFonts w:hint="eastAsia" w:ascii="宋体" w:hAnsi="宋体" w:cs="宋体"/>
          <w:color w:val="auto"/>
          <w:kern w:val="2"/>
          <w:sz w:val="28"/>
          <w:szCs w:val="21"/>
          <w:highlight w:val="none"/>
          <w:lang w:val="en-US" w:eastAsia="zh-CN" w:bidi="ar-SA"/>
        </w:rPr>
        <w:t>5</w:t>
      </w:r>
      <w:r>
        <w:rPr>
          <w:rFonts w:hint="eastAsia" w:ascii="宋体" w:hAnsi="宋体" w:eastAsia="宋体" w:cs="宋体"/>
          <w:color w:val="auto"/>
          <w:kern w:val="2"/>
          <w:sz w:val="28"/>
          <w:szCs w:val="21"/>
          <w:highlight w:val="none"/>
          <w:lang w:val="en-US" w:eastAsia="zh-CN" w:bidi="ar-SA"/>
        </w:rPr>
        <w:t>根位于罐区</w:t>
      </w:r>
      <w:r>
        <w:rPr>
          <w:rFonts w:hint="eastAsia" w:ascii="宋体" w:hAnsi="宋体" w:cs="宋体"/>
          <w:color w:val="auto"/>
          <w:kern w:val="2"/>
          <w:sz w:val="28"/>
          <w:szCs w:val="21"/>
          <w:highlight w:val="none"/>
          <w:lang w:val="en-US" w:eastAsia="zh-CN" w:bidi="ar-SA"/>
        </w:rPr>
        <w:t>北</w:t>
      </w:r>
      <w:r>
        <w:rPr>
          <w:rFonts w:hint="eastAsia" w:ascii="宋体" w:hAnsi="宋体" w:eastAsia="宋体" w:cs="宋体"/>
          <w:color w:val="auto"/>
          <w:kern w:val="2"/>
          <w:sz w:val="28"/>
          <w:szCs w:val="21"/>
          <w:highlight w:val="none"/>
          <w:lang w:val="en-US" w:eastAsia="zh-CN" w:bidi="ar-SA"/>
        </w:rPr>
        <w:t>侧</w:t>
      </w:r>
      <w:r>
        <w:rPr>
          <w:rFonts w:hint="eastAsia" w:ascii="宋体" w:hAnsi="宋体" w:cs="宋体"/>
          <w:color w:val="auto"/>
          <w:kern w:val="2"/>
          <w:sz w:val="28"/>
          <w:szCs w:val="21"/>
          <w:highlight w:val="none"/>
          <w:lang w:val="en-US" w:eastAsia="zh-CN" w:bidi="ar-SA"/>
        </w:rPr>
        <w:t>（其中1根已废弃）</w:t>
      </w:r>
      <w:r>
        <w:rPr>
          <w:rFonts w:hint="eastAsia" w:ascii="宋体" w:hAnsi="宋体" w:eastAsia="宋体" w:cs="宋体"/>
          <w:color w:val="auto"/>
          <w:kern w:val="2"/>
          <w:sz w:val="28"/>
          <w:szCs w:val="21"/>
          <w:highlight w:val="none"/>
          <w:lang w:val="en-US" w:eastAsia="zh-CN" w:bidi="ar-SA"/>
        </w:rPr>
        <w:t>，该站设有</w:t>
      </w:r>
      <w:r>
        <w:rPr>
          <w:rFonts w:hint="eastAsia" w:ascii="宋体" w:hAnsi="宋体" w:cs="宋体"/>
          <w:color w:val="auto"/>
          <w:kern w:val="2"/>
          <w:sz w:val="28"/>
          <w:szCs w:val="21"/>
          <w:highlight w:val="none"/>
          <w:lang w:val="en-US" w:eastAsia="zh-CN" w:bidi="ar-SA"/>
        </w:rPr>
        <w:t>三次油气回收系统，包括</w:t>
      </w:r>
      <w:r>
        <w:rPr>
          <w:rFonts w:hint="eastAsia" w:ascii="宋体" w:hAnsi="宋体" w:eastAsia="宋体" w:cs="宋体"/>
          <w:color w:val="auto"/>
          <w:kern w:val="2"/>
          <w:sz w:val="28"/>
          <w:szCs w:val="21"/>
          <w:highlight w:val="none"/>
          <w:lang w:val="en-US" w:eastAsia="zh-CN" w:bidi="ar-SA"/>
        </w:rPr>
        <w:t>卸油油气回收系统、加油油气回收系统</w:t>
      </w:r>
      <w:r>
        <w:rPr>
          <w:rFonts w:hint="eastAsia" w:ascii="宋体" w:hAnsi="宋体" w:cs="宋体"/>
          <w:color w:val="auto"/>
          <w:kern w:val="2"/>
          <w:sz w:val="28"/>
          <w:szCs w:val="21"/>
          <w:highlight w:val="none"/>
          <w:lang w:val="en-US" w:eastAsia="zh-CN" w:bidi="ar-SA"/>
        </w:rPr>
        <w:t>、</w:t>
      </w:r>
      <w:r>
        <w:rPr>
          <w:rFonts w:hint="eastAsia" w:ascii="宋体" w:hAnsi="宋体"/>
          <w:color w:val="auto"/>
          <w:szCs w:val="28"/>
          <w:highlight w:val="none"/>
          <w:lang w:val="en-US" w:eastAsia="zh-CN"/>
        </w:rPr>
        <w:t>油气回收处理系统</w:t>
      </w:r>
      <w:r>
        <w:rPr>
          <w:rFonts w:hint="eastAsia" w:ascii="宋体" w:hAnsi="宋体"/>
          <w:color w:val="auto"/>
          <w:szCs w:val="28"/>
          <w:highlight w:val="none"/>
        </w:rPr>
        <w:t>；</w:t>
      </w:r>
      <w:r>
        <w:rPr>
          <w:rFonts w:hint="eastAsia" w:ascii="宋体" w:hAnsi="宋体" w:eastAsia="宋体" w:cs="宋体"/>
          <w:color w:val="auto"/>
          <w:kern w:val="2"/>
          <w:sz w:val="28"/>
          <w:szCs w:val="21"/>
          <w:highlight w:val="none"/>
          <w:lang w:val="en-US" w:eastAsia="zh-CN" w:bidi="ar-SA"/>
        </w:rPr>
        <w:t>按《汽车加油加气加氢站技术标准》GB50156-2021标准规定：油罐总储量为</w:t>
      </w:r>
      <w:r>
        <w:rPr>
          <w:rFonts w:hint="eastAsia" w:ascii="宋体" w:hAnsi="宋体" w:cs="宋体"/>
          <w:color w:val="auto"/>
          <w:kern w:val="2"/>
          <w:sz w:val="28"/>
          <w:szCs w:val="21"/>
          <w:highlight w:val="none"/>
          <w:lang w:val="en-US" w:eastAsia="zh-CN" w:bidi="ar-SA"/>
        </w:rPr>
        <w:t>90</w:t>
      </w:r>
      <w:r>
        <w:rPr>
          <w:rFonts w:hint="eastAsia" w:ascii="宋体" w:hAnsi="宋体" w:eastAsia="宋体" w:cs="宋体"/>
          <w:color w:val="auto"/>
          <w:kern w:val="2"/>
          <w:sz w:val="28"/>
          <w:szCs w:val="21"/>
          <w:highlight w:val="none"/>
          <w:lang w:val="en-US" w:eastAsia="zh-CN" w:bidi="ar-SA"/>
        </w:rPr>
        <w:t>m³，柴油储罐容积折半计入总容积为</w:t>
      </w:r>
      <w:r>
        <w:rPr>
          <w:rFonts w:hint="eastAsia" w:ascii="宋体" w:hAnsi="宋体" w:cs="宋体"/>
          <w:color w:val="auto"/>
          <w:kern w:val="2"/>
          <w:sz w:val="28"/>
          <w:szCs w:val="21"/>
          <w:highlight w:val="none"/>
          <w:lang w:val="en-US" w:eastAsia="zh-CN" w:bidi="ar-SA"/>
        </w:rPr>
        <w:t>75</w:t>
      </w:r>
      <w:r>
        <w:rPr>
          <w:rFonts w:hint="eastAsia" w:ascii="宋体" w:hAnsi="宋体" w:eastAsia="宋体" w:cs="宋体"/>
          <w:color w:val="auto"/>
          <w:kern w:val="2"/>
          <w:sz w:val="28"/>
          <w:szCs w:val="21"/>
          <w:highlight w:val="none"/>
          <w:lang w:val="en-US" w:eastAsia="zh-CN" w:bidi="ar-SA"/>
        </w:rPr>
        <w:t>m³，该站属三级加油站。</w:t>
      </w:r>
    </w:p>
    <w:p w14:paraId="6B8D41BA">
      <w:pPr>
        <w:pStyle w:val="13"/>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7D17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F4B13BD">
            <w:pPr>
              <w:pStyle w:val="14"/>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7291ED40">
            <w:pPr>
              <w:pStyle w:val="14"/>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EA88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D855DA">
            <w:pPr>
              <w:pStyle w:val="14"/>
              <w:widowControl w:val="0"/>
              <w:adjustRightInd w:val="0"/>
              <w:snapToGrid w:val="0"/>
              <w:spacing w:line="360" w:lineRule="auto"/>
              <w:rPr>
                <w:rFonts w:ascii="宋体" w:hAnsi="宋体"/>
                <w:b/>
                <w:bCs/>
                <w:color w:val="auto"/>
                <w:highlight w:val="none"/>
              </w:rPr>
            </w:pPr>
          </w:p>
        </w:tc>
        <w:tc>
          <w:tcPr>
            <w:tcW w:w="1667" w:type="pct"/>
            <w:vAlign w:val="center"/>
          </w:tcPr>
          <w:p w14:paraId="516410CE">
            <w:pPr>
              <w:pStyle w:val="14"/>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543EEE57">
            <w:pPr>
              <w:pStyle w:val="14"/>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378E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D015FA5">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1C103B">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C4F7931">
            <w:pPr>
              <w:pStyle w:val="14"/>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7E471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FDF050D">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4FCFAA32">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74A02A9">
            <w:pPr>
              <w:pStyle w:val="14"/>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AF7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382905C">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6374CBBE">
            <w:pPr>
              <w:pStyle w:val="14"/>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5FEAD7B5">
            <w:pPr>
              <w:pStyle w:val="14"/>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4B0BE48B">
      <w:pPr>
        <w:pStyle w:val="15"/>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6D9BA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6</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61B37B78">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Times New Roman" w:eastAsia="宋体" w:cs="Times New Roman"/>
          <w:color w:val="auto"/>
          <w:sz w:val="28"/>
          <w:szCs w:val="20"/>
          <w:highlight w:val="none"/>
          <w:lang w:val="en-US" w:eastAsia="zh-CN" w:bidi="ar-SA"/>
        </w:rPr>
      </w:pPr>
      <w:r>
        <w:rPr>
          <w:rFonts w:hint="eastAsia" w:ascii="宋体" w:cs="Times New Roman"/>
          <w:color w:val="auto"/>
          <w:sz w:val="28"/>
          <w:szCs w:val="20"/>
          <w:highlight w:val="none"/>
          <w:lang w:val="en-US" w:eastAsia="zh-CN" w:bidi="ar-SA"/>
        </w:rPr>
        <w:t>该</w:t>
      </w:r>
      <w:r>
        <w:rPr>
          <w:rFonts w:hint="eastAsia" w:ascii="宋体" w:hAnsi="Times New Roman" w:eastAsia="宋体" w:cs="Times New Roman"/>
          <w:color w:val="auto"/>
          <w:sz w:val="28"/>
          <w:szCs w:val="20"/>
          <w:highlight w:val="none"/>
          <w:lang w:val="en-US" w:eastAsia="zh-CN" w:bidi="ar-SA"/>
        </w:rPr>
        <w:t>站</w:t>
      </w:r>
      <w:r>
        <w:rPr>
          <w:rFonts w:hint="eastAsia" w:ascii="宋体" w:cs="Times New Roman"/>
          <w:color w:val="auto"/>
          <w:sz w:val="28"/>
          <w:szCs w:val="20"/>
          <w:highlight w:val="none"/>
          <w:lang w:val="en-US" w:eastAsia="zh-CN" w:bidi="ar-SA"/>
        </w:rPr>
        <w:t>原名中国石化山东泰山石油股份有限公司东平第二十六加油站，并于</w:t>
      </w:r>
      <w:r>
        <w:rPr>
          <w:rFonts w:hint="eastAsia" w:ascii="宋体" w:hAnsi="Times New Roman" w:eastAsia="宋体" w:cs="Times New Roman"/>
          <w:color w:val="auto"/>
          <w:sz w:val="28"/>
          <w:szCs w:val="20"/>
          <w:highlight w:val="none"/>
          <w:lang w:val="en-US" w:eastAsia="zh-CN" w:bidi="ar-SA"/>
        </w:rPr>
        <w:t>20</w:t>
      </w:r>
      <w:r>
        <w:rPr>
          <w:rFonts w:hint="eastAsia" w:ascii="宋体" w:cs="Times New Roman"/>
          <w:color w:val="auto"/>
          <w:sz w:val="28"/>
          <w:szCs w:val="20"/>
          <w:highlight w:val="none"/>
          <w:lang w:val="en-US" w:eastAsia="zh-CN" w:bidi="ar-SA"/>
        </w:rPr>
        <w:t>13</w:t>
      </w:r>
      <w:r>
        <w:rPr>
          <w:rFonts w:hint="eastAsia" w:ascii="宋体" w:hAnsi="Times New Roman" w:eastAsia="宋体" w:cs="Times New Roman"/>
          <w:color w:val="auto"/>
          <w:sz w:val="28"/>
          <w:szCs w:val="20"/>
          <w:highlight w:val="none"/>
          <w:lang w:val="en-US" w:eastAsia="zh-CN" w:bidi="ar-SA"/>
        </w:rPr>
        <w:t>年</w:t>
      </w:r>
      <w:r>
        <w:rPr>
          <w:rFonts w:hint="eastAsia" w:ascii="宋体" w:cs="Times New Roman"/>
          <w:color w:val="auto"/>
          <w:sz w:val="28"/>
          <w:szCs w:val="20"/>
          <w:highlight w:val="none"/>
          <w:lang w:val="en-US" w:eastAsia="zh-CN" w:bidi="ar-SA"/>
        </w:rPr>
        <w:t>2</w:t>
      </w:r>
      <w:r>
        <w:rPr>
          <w:rFonts w:hint="eastAsia" w:ascii="宋体" w:hAnsi="Times New Roman" w:eastAsia="宋体" w:cs="Times New Roman"/>
          <w:color w:val="auto"/>
          <w:sz w:val="28"/>
          <w:szCs w:val="20"/>
          <w:highlight w:val="none"/>
          <w:lang w:val="en-US" w:eastAsia="zh-CN" w:bidi="ar-SA"/>
        </w:rPr>
        <w:t>月</w:t>
      </w:r>
      <w:r>
        <w:rPr>
          <w:rFonts w:hint="eastAsia" w:ascii="宋体" w:cs="Times New Roman"/>
          <w:color w:val="auto"/>
          <w:sz w:val="28"/>
          <w:szCs w:val="20"/>
          <w:highlight w:val="none"/>
          <w:lang w:val="en-US" w:eastAsia="zh-CN" w:bidi="ar-SA"/>
        </w:rPr>
        <w:t>5</w:t>
      </w:r>
      <w:r>
        <w:rPr>
          <w:rFonts w:hint="eastAsia" w:ascii="宋体" w:hAnsi="Times New Roman" w:eastAsia="宋体" w:cs="Times New Roman"/>
          <w:color w:val="auto"/>
          <w:sz w:val="28"/>
          <w:szCs w:val="20"/>
          <w:highlight w:val="none"/>
          <w:lang w:val="en-US" w:eastAsia="zh-CN" w:bidi="ar-SA"/>
        </w:rPr>
        <w:t>日取得了</w:t>
      </w:r>
      <w:r>
        <w:rPr>
          <w:rFonts w:hint="eastAsia" w:ascii="宋体" w:cs="Times New Roman"/>
          <w:color w:val="auto"/>
          <w:sz w:val="28"/>
          <w:szCs w:val="20"/>
          <w:highlight w:val="none"/>
          <w:lang w:val="en-US" w:eastAsia="zh-CN" w:bidi="ar-SA"/>
        </w:rPr>
        <w:t>东平县公安局消防大队出具的</w:t>
      </w:r>
      <w:r>
        <w:rPr>
          <w:rFonts w:hint="eastAsia" w:ascii="宋体"/>
          <w:color w:val="auto"/>
          <w:highlight w:val="none"/>
        </w:rPr>
        <w:t>《</w:t>
      </w:r>
      <w:r>
        <w:rPr>
          <w:rFonts w:hint="eastAsia" w:ascii="宋体"/>
          <w:color w:val="auto"/>
          <w:highlight w:val="none"/>
          <w:lang w:val="en-US" w:eastAsia="zh-CN"/>
        </w:rPr>
        <w:t>建设工程消防验收意见书</w:t>
      </w:r>
      <w:r>
        <w:rPr>
          <w:rFonts w:hint="eastAsia" w:ascii="宋体"/>
          <w:color w:val="auto"/>
          <w:highlight w:val="none"/>
        </w:rPr>
        <w:t>》</w:t>
      </w:r>
      <w:r>
        <w:rPr>
          <w:rFonts w:hint="eastAsia" w:ascii="宋体" w:hAnsi="Times New Roman" w:eastAsia="宋体" w:cs="Times New Roman"/>
          <w:color w:val="auto"/>
          <w:sz w:val="28"/>
          <w:szCs w:val="20"/>
          <w:highlight w:val="none"/>
          <w:lang w:val="en-US" w:eastAsia="zh-CN" w:bidi="ar-SA"/>
        </w:rPr>
        <w:t>，</w:t>
      </w:r>
      <w:r>
        <w:rPr>
          <w:rFonts w:hint="eastAsia" w:ascii="宋体" w:cs="Times New Roman"/>
          <w:color w:val="auto"/>
          <w:sz w:val="28"/>
          <w:szCs w:val="20"/>
          <w:highlight w:val="none"/>
          <w:lang w:val="en-US" w:eastAsia="zh-CN" w:bidi="ar-SA"/>
        </w:rPr>
        <w:t>意见书编号：泰公消验</w:t>
      </w:r>
      <w:r>
        <w:rPr>
          <w:rFonts w:hint="eastAsia" w:ascii="宋体"/>
          <w:color w:val="auto"/>
          <w:highlight w:val="none"/>
        </w:rPr>
        <w:t>[20</w:t>
      </w:r>
      <w:r>
        <w:rPr>
          <w:rFonts w:hint="eastAsia" w:ascii="宋体"/>
          <w:color w:val="auto"/>
          <w:highlight w:val="none"/>
          <w:lang w:val="en-US" w:eastAsia="zh-CN"/>
        </w:rPr>
        <w:t>13</w:t>
      </w:r>
      <w:r>
        <w:rPr>
          <w:rFonts w:hint="eastAsia" w:ascii="宋体"/>
          <w:color w:val="auto"/>
          <w:highlight w:val="none"/>
        </w:rPr>
        <w:t>]</w:t>
      </w:r>
      <w:r>
        <w:rPr>
          <w:rFonts w:hint="eastAsia" w:ascii="宋体" w:cs="Times New Roman"/>
          <w:color w:val="auto"/>
          <w:sz w:val="28"/>
          <w:szCs w:val="20"/>
          <w:highlight w:val="none"/>
          <w:lang w:val="en-US" w:eastAsia="zh-CN" w:bidi="ar-SA"/>
        </w:rPr>
        <w:t>第0001号，意见书结论为：综合评定该建设工程消防验收合格，</w:t>
      </w:r>
      <w:r>
        <w:rPr>
          <w:rFonts w:hint="eastAsia" w:ascii="宋体" w:hAnsi="Times New Roman" w:eastAsia="宋体" w:cs="Times New Roman"/>
          <w:color w:val="auto"/>
          <w:sz w:val="28"/>
          <w:szCs w:val="20"/>
          <w:highlight w:val="none"/>
          <w:lang w:val="en-US" w:eastAsia="zh-CN" w:bidi="ar-SA"/>
        </w:rPr>
        <w:t>详见附件。</w:t>
      </w:r>
    </w:p>
    <w:p w14:paraId="47729E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lang w:val="en-US" w:eastAsia="zh-CN"/>
        </w:rPr>
        <w:t>该站法人代表贺怀忠</w:t>
      </w:r>
      <w:r>
        <w:rPr>
          <w:rFonts w:hint="eastAsia" w:ascii="宋体" w:hAnsi="宋体"/>
          <w:color w:val="auto"/>
          <w:sz w:val="28"/>
          <w:highlight w:val="none"/>
        </w:rPr>
        <w:t>于</w:t>
      </w:r>
      <w:r>
        <w:rPr>
          <w:rFonts w:hint="eastAsia" w:ascii="宋体" w:hAnsi="宋体"/>
          <w:color w:val="auto"/>
          <w:sz w:val="28"/>
          <w:highlight w:val="none"/>
          <w:lang w:val="en-US" w:eastAsia="zh-CN"/>
        </w:rPr>
        <w:t>2023</w:t>
      </w:r>
      <w:r>
        <w:rPr>
          <w:rFonts w:hint="eastAsia" w:ascii="宋体" w:hAnsi="宋体"/>
          <w:color w:val="auto"/>
          <w:sz w:val="28"/>
          <w:highlight w:val="none"/>
        </w:rPr>
        <w:t>年</w:t>
      </w:r>
      <w:r>
        <w:rPr>
          <w:rFonts w:hint="eastAsia" w:ascii="宋体" w:hAnsi="宋体"/>
          <w:color w:val="auto"/>
          <w:sz w:val="28"/>
          <w:highlight w:val="none"/>
          <w:lang w:val="en-US" w:eastAsia="zh-CN"/>
        </w:rPr>
        <w:t>8月17日与甲方：孙家科、姬长民、齐保峰、张玉乐签订了《加油站转让协议》，甲方将位于旧县镇驻地旧姜路与220国道交界处的加油站一处（现东平县泰鑫加油站）一次性转让给乙方。</w:t>
      </w:r>
      <w:r>
        <w:rPr>
          <w:rFonts w:hint="eastAsia" w:ascii="宋体" w:hAnsi="宋体"/>
          <w:color w:val="auto"/>
          <w:sz w:val="28"/>
          <w:highlight w:val="none"/>
        </w:rPr>
        <w:t>详见附件。</w:t>
      </w:r>
    </w:p>
    <w:p w14:paraId="21A6905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color w:val="auto"/>
          <w:highlight w:val="none"/>
        </w:rPr>
      </w:pPr>
      <w:r>
        <w:rPr>
          <w:rFonts w:hint="eastAsia" w:ascii="宋体" w:hAnsi="宋体"/>
          <w:color w:val="auto"/>
          <w:sz w:val="28"/>
          <w:highlight w:val="none"/>
        </w:rPr>
        <w:t>该站编制了生产安全事故应急预案，于202</w:t>
      </w:r>
      <w:r>
        <w:rPr>
          <w:rFonts w:hint="eastAsia" w:ascii="宋体" w:hAnsi="宋体"/>
          <w:color w:val="auto"/>
          <w:sz w:val="28"/>
          <w:highlight w:val="none"/>
          <w:lang w:val="en-US" w:eastAsia="zh-CN"/>
        </w:rPr>
        <w:t>3年09</w:t>
      </w:r>
      <w:r>
        <w:rPr>
          <w:rFonts w:hint="eastAsia" w:ascii="宋体" w:hAnsi="宋体"/>
          <w:color w:val="auto"/>
          <w:sz w:val="28"/>
          <w:highlight w:val="none"/>
        </w:rPr>
        <w:t>月</w:t>
      </w:r>
      <w:r>
        <w:rPr>
          <w:rFonts w:hint="eastAsia" w:ascii="宋体" w:hAnsi="宋体"/>
          <w:color w:val="auto"/>
          <w:sz w:val="28"/>
          <w:highlight w:val="none"/>
          <w:lang w:val="en-US" w:eastAsia="zh-CN"/>
        </w:rPr>
        <w:t>07</w:t>
      </w:r>
      <w:r>
        <w:rPr>
          <w:rFonts w:hint="eastAsia" w:ascii="宋体" w:hAnsi="宋体"/>
          <w:color w:val="auto"/>
          <w:sz w:val="28"/>
          <w:highlight w:val="none"/>
        </w:rPr>
        <w:t>日在</w:t>
      </w:r>
      <w:r>
        <w:rPr>
          <w:rFonts w:hint="eastAsia" w:ascii="宋体" w:hAnsi="宋体"/>
          <w:color w:val="auto"/>
          <w:sz w:val="28"/>
          <w:highlight w:val="none"/>
          <w:lang w:val="en-US" w:eastAsia="zh-CN"/>
        </w:rPr>
        <w:t>东平县</w:t>
      </w:r>
      <w:r>
        <w:rPr>
          <w:rFonts w:hint="eastAsia" w:ascii="宋体" w:hAnsi="宋体"/>
          <w:color w:val="auto"/>
          <w:sz w:val="28"/>
          <w:highlight w:val="none"/>
        </w:rPr>
        <w:t>应急管理局进行了备案，备案编号为：3709</w:t>
      </w:r>
      <w:r>
        <w:rPr>
          <w:rFonts w:hint="eastAsia" w:ascii="宋体" w:hAnsi="宋体"/>
          <w:color w:val="auto"/>
          <w:sz w:val="28"/>
          <w:highlight w:val="none"/>
          <w:lang w:val="en-US" w:eastAsia="zh-CN"/>
        </w:rPr>
        <w:t>23</w:t>
      </w:r>
      <w:r>
        <w:rPr>
          <w:rFonts w:hint="eastAsia" w:ascii="宋体" w:hAnsi="宋体"/>
          <w:color w:val="auto"/>
          <w:sz w:val="28"/>
          <w:highlight w:val="none"/>
        </w:rPr>
        <w:t>-202</w:t>
      </w:r>
      <w:r>
        <w:rPr>
          <w:rFonts w:hint="eastAsia" w:ascii="宋体" w:hAnsi="宋体"/>
          <w:color w:val="auto"/>
          <w:sz w:val="28"/>
          <w:highlight w:val="none"/>
          <w:lang w:val="en-US" w:eastAsia="zh-CN"/>
        </w:rPr>
        <w:t>3</w:t>
      </w:r>
      <w:r>
        <w:rPr>
          <w:rFonts w:hint="eastAsia" w:ascii="宋体" w:hAnsi="宋体"/>
          <w:color w:val="auto"/>
          <w:sz w:val="28"/>
          <w:highlight w:val="none"/>
        </w:rPr>
        <w:t>-0</w:t>
      </w:r>
      <w:r>
        <w:rPr>
          <w:rFonts w:hint="eastAsia" w:ascii="宋体" w:hAnsi="宋体"/>
          <w:color w:val="auto"/>
          <w:sz w:val="28"/>
          <w:highlight w:val="none"/>
          <w:lang w:val="en-US" w:eastAsia="zh-CN"/>
        </w:rPr>
        <w:t>026</w:t>
      </w:r>
      <w:r>
        <w:rPr>
          <w:rFonts w:hint="eastAsia" w:ascii="宋体" w:hAnsi="宋体"/>
          <w:color w:val="auto"/>
          <w:sz w:val="28"/>
          <w:highlight w:val="none"/>
        </w:rPr>
        <w:t>，详见附件。</w:t>
      </w:r>
    </w:p>
    <w:p w14:paraId="1E9293C8">
      <w:pPr>
        <w:pStyle w:val="11"/>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3</w:t>
      </w:r>
      <w:r>
        <w:rPr>
          <w:rFonts w:hint="eastAsia" w:ascii="宋体"/>
          <w:color w:val="auto"/>
          <w:highlight w:val="none"/>
        </w:rPr>
        <w:t>年</w:t>
      </w:r>
      <w:r>
        <w:rPr>
          <w:rFonts w:hint="eastAsia" w:ascii="宋体"/>
          <w:color w:val="auto"/>
          <w:highlight w:val="none"/>
          <w:lang w:val="en-US" w:eastAsia="zh-CN"/>
        </w:rPr>
        <w:t>10</w:t>
      </w:r>
      <w:r>
        <w:rPr>
          <w:rFonts w:hint="eastAsia" w:ascii="宋体"/>
          <w:color w:val="auto"/>
          <w:highlight w:val="none"/>
        </w:rPr>
        <w:t>月</w:t>
      </w:r>
      <w:r>
        <w:rPr>
          <w:rFonts w:hint="eastAsia" w:ascii="宋体"/>
          <w:color w:val="auto"/>
          <w:highlight w:val="none"/>
          <w:lang w:val="en-US" w:eastAsia="zh-CN"/>
        </w:rPr>
        <w:t>8</w:t>
      </w:r>
      <w:r>
        <w:rPr>
          <w:rFonts w:hint="eastAsia" w:ascii="宋体"/>
          <w:color w:val="auto"/>
          <w:highlight w:val="none"/>
        </w:rPr>
        <w:t>日</w:t>
      </w:r>
      <w:r>
        <w:rPr>
          <w:rFonts w:hint="eastAsia" w:ascii="宋体"/>
          <w:color w:val="auto"/>
          <w:highlight w:val="none"/>
          <w:lang w:val="en-US" w:eastAsia="zh-CN"/>
        </w:rPr>
        <w:t>变更</w:t>
      </w:r>
      <w:r>
        <w:rPr>
          <w:rFonts w:hint="eastAsia" w:ascii="宋体"/>
          <w:color w:val="auto"/>
          <w:highlight w:val="none"/>
        </w:rPr>
        <w:t>了《危险化学品经营许可证》，证书编号：鲁泰危化经[20</w:t>
      </w:r>
      <w:r>
        <w:rPr>
          <w:rFonts w:hint="eastAsia" w:ascii="宋体"/>
          <w:color w:val="auto"/>
          <w:highlight w:val="none"/>
          <w:lang w:val="en-US" w:eastAsia="zh-CN"/>
        </w:rPr>
        <w:t>22</w:t>
      </w:r>
      <w:r>
        <w:rPr>
          <w:rFonts w:hint="eastAsia" w:ascii="宋体"/>
          <w:color w:val="auto"/>
          <w:highlight w:val="none"/>
        </w:rPr>
        <w:t>]000</w:t>
      </w:r>
      <w:r>
        <w:rPr>
          <w:rFonts w:hint="eastAsia" w:ascii="宋体"/>
          <w:color w:val="auto"/>
          <w:highlight w:val="none"/>
          <w:lang w:val="en-US" w:eastAsia="zh-CN"/>
        </w:rPr>
        <w:t>131</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5</w:t>
      </w:r>
      <w:r>
        <w:rPr>
          <w:rFonts w:hint="eastAsia" w:ascii="宋体"/>
          <w:color w:val="auto"/>
          <w:highlight w:val="none"/>
        </w:rPr>
        <w:t>月</w:t>
      </w:r>
      <w:r>
        <w:rPr>
          <w:rFonts w:hint="eastAsia" w:ascii="宋体"/>
          <w:color w:val="auto"/>
          <w:highlight w:val="none"/>
          <w:lang w:val="en-US" w:eastAsia="zh-CN"/>
        </w:rPr>
        <w:t>26</w:t>
      </w:r>
      <w:r>
        <w:rPr>
          <w:rFonts w:hint="eastAsia" w:ascii="宋体"/>
          <w:color w:val="auto"/>
          <w:highlight w:val="none"/>
        </w:rPr>
        <w:t>日，证书见附件。</w:t>
      </w:r>
    </w:p>
    <w:p w14:paraId="23A031E8">
      <w:pPr>
        <w:pStyle w:val="11"/>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3</w:t>
      </w:r>
      <w:r>
        <w:rPr>
          <w:rFonts w:ascii="宋体"/>
          <w:color w:val="auto"/>
          <w:highlight w:val="none"/>
        </w:rPr>
        <w:t>年</w:t>
      </w:r>
      <w:r>
        <w:rPr>
          <w:rFonts w:hint="eastAsia" w:ascii="宋体"/>
          <w:color w:val="auto"/>
          <w:highlight w:val="none"/>
          <w:lang w:val="en-US" w:eastAsia="zh-CN"/>
        </w:rPr>
        <w:t>10</w:t>
      </w:r>
      <w:r>
        <w:rPr>
          <w:rFonts w:ascii="宋体"/>
          <w:color w:val="auto"/>
          <w:highlight w:val="none"/>
        </w:rPr>
        <w:t>月</w:t>
      </w:r>
      <w:r>
        <w:rPr>
          <w:rFonts w:hint="eastAsia" w:ascii="宋体"/>
          <w:color w:val="auto"/>
          <w:highlight w:val="none"/>
          <w:lang w:val="en-US" w:eastAsia="zh-CN"/>
        </w:rPr>
        <w:t>12</w:t>
      </w:r>
      <w:r>
        <w:rPr>
          <w:rFonts w:ascii="宋体"/>
          <w:color w:val="auto"/>
          <w:highlight w:val="none"/>
        </w:rPr>
        <w:t>日</w:t>
      </w:r>
      <w:r>
        <w:rPr>
          <w:rFonts w:hint="eastAsia" w:ascii="宋体"/>
          <w:color w:val="auto"/>
          <w:highlight w:val="none"/>
          <w:lang w:val="en-US" w:eastAsia="zh-CN"/>
        </w:rPr>
        <w:t>变更</w:t>
      </w:r>
      <w:r>
        <w:rPr>
          <w:rFonts w:hint="eastAsia" w:ascii="宋体"/>
          <w:color w:val="auto"/>
          <w:highlight w:val="none"/>
        </w:rPr>
        <w:t>了</w:t>
      </w:r>
      <w:r>
        <w:rPr>
          <w:rFonts w:ascii="宋体"/>
          <w:color w:val="auto"/>
          <w:highlight w:val="none"/>
        </w:rPr>
        <w:t>《成品油零售经营批准证书》，证书编号：</w:t>
      </w:r>
      <w:r>
        <w:rPr>
          <w:rFonts w:hint="eastAsia" w:ascii="宋体"/>
          <w:color w:val="auto"/>
          <w:highlight w:val="none"/>
        </w:rPr>
        <w:t>鲁油零售证书第37090</w:t>
      </w:r>
      <w:r>
        <w:rPr>
          <w:rFonts w:hint="eastAsia" w:ascii="宋体"/>
          <w:color w:val="auto"/>
          <w:highlight w:val="none"/>
          <w:lang w:val="en-US" w:eastAsia="zh-CN"/>
        </w:rPr>
        <w:t>53086</w:t>
      </w:r>
      <w:r>
        <w:rPr>
          <w:rFonts w:ascii="宋体"/>
          <w:color w:val="auto"/>
          <w:highlight w:val="none"/>
        </w:rPr>
        <w:t>号</w:t>
      </w:r>
      <w:r>
        <w:rPr>
          <w:rFonts w:hint="eastAsia" w:ascii="宋体"/>
          <w:color w:val="auto"/>
          <w:highlight w:val="none"/>
        </w:rPr>
        <w:t>，证书有效期至2026年</w:t>
      </w:r>
      <w:r>
        <w:rPr>
          <w:rFonts w:hint="eastAsia" w:ascii="宋体"/>
          <w:color w:val="auto"/>
          <w:highlight w:val="none"/>
          <w:lang w:val="en-US" w:eastAsia="zh-CN"/>
        </w:rPr>
        <w:t>07</w:t>
      </w:r>
      <w:r>
        <w:rPr>
          <w:rFonts w:hint="eastAsia" w:ascii="宋体"/>
          <w:color w:val="auto"/>
          <w:highlight w:val="none"/>
        </w:rPr>
        <w:t>月</w:t>
      </w:r>
      <w:r>
        <w:rPr>
          <w:rFonts w:hint="eastAsia" w:ascii="宋体"/>
          <w:color w:val="auto"/>
          <w:highlight w:val="none"/>
          <w:lang w:val="en-US" w:eastAsia="zh-CN"/>
        </w:rPr>
        <w:t>21</w:t>
      </w:r>
      <w:r>
        <w:rPr>
          <w:rFonts w:hint="eastAsia" w:ascii="宋体"/>
          <w:color w:val="auto"/>
          <w:highlight w:val="none"/>
        </w:rPr>
        <w:t>日，证书见附件</w:t>
      </w:r>
      <w:r>
        <w:rPr>
          <w:rFonts w:ascii="宋体"/>
          <w:color w:val="auto"/>
          <w:highlight w:val="none"/>
        </w:rPr>
        <w:t>。</w:t>
      </w:r>
    </w:p>
    <w:p w14:paraId="2C025E71">
      <w:pPr>
        <w:pStyle w:val="11"/>
        <w:keepLines w:val="0"/>
        <w:widowControl w:val="0"/>
        <w:shd w:val="clear"/>
        <w:wordWrap/>
        <w:overflowPunct/>
        <w:topLinePunct w:val="0"/>
        <w:bidi w:val="0"/>
        <w:adjustRightInd w:val="0"/>
        <w:snapToGrid w:val="0"/>
        <w:spacing w:line="360" w:lineRule="auto"/>
        <w:ind w:firstLine="560"/>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w:t>
      </w:r>
      <w:r>
        <w:rPr>
          <w:rFonts w:hint="eastAsia" w:ascii="宋体" w:hAnsi="宋体"/>
          <w:color w:val="auto"/>
          <w:sz w:val="28"/>
          <w:highlight w:val="none"/>
          <w:lang w:val="en-US" w:eastAsia="zh-CN"/>
        </w:rPr>
        <w:t>（1122016001）[</w:t>
      </w:r>
      <w:r>
        <w:rPr>
          <w:rFonts w:hint="eastAsia" w:ascii="宋体" w:hAnsi="宋体"/>
          <w:color w:val="auto"/>
          <w:sz w:val="28"/>
          <w:highlight w:val="none"/>
        </w:rPr>
        <w:t>202</w:t>
      </w:r>
      <w:r>
        <w:rPr>
          <w:rFonts w:hint="eastAsia" w:ascii="宋体" w:hAnsi="宋体"/>
          <w:color w:val="auto"/>
          <w:sz w:val="28"/>
          <w:highlight w:val="none"/>
          <w:lang w:val="en-US" w:eastAsia="zh-CN"/>
        </w:rPr>
        <w:t>4]</w:t>
      </w:r>
      <w:r>
        <w:rPr>
          <w:rFonts w:hint="eastAsia" w:ascii="宋体" w:hAnsi="宋体"/>
          <w:color w:val="auto"/>
          <w:sz w:val="28"/>
          <w:highlight w:val="none"/>
        </w:rPr>
        <w:t>TA</w:t>
      </w:r>
      <w:r>
        <w:rPr>
          <w:rFonts w:hint="eastAsia" w:ascii="宋体" w:hAnsi="宋体"/>
          <w:color w:val="auto"/>
          <w:sz w:val="28"/>
          <w:highlight w:val="none"/>
          <w:lang w:val="en-US" w:eastAsia="zh-CN"/>
        </w:rPr>
        <w:t>DP-0269</w:t>
      </w:r>
      <w:r>
        <w:rPr>
          <w:rFonts w:hint="eastAsia" w:ascii="宋体" w:hAnsi="宋体"/>
          <w:color w:val="auto"/>
          <w:sz w:val="28"/>
          <w:highlight w:val="none"/>
        </w:rPr>
        <w:t>号，防雷类别：二类，结论为“合格：雷电防护装置符合现行国家防雷规范标准要求”，有效期至202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05</w:t>
      </w:r>
      <w:r>
        <w:rPr>
          <w:rFonts w:hint="eastAsia" w:ascii="宋体" w:hAnsi="宋体"/>
          <w:color w:val="auto"/>
          <w:sz w:val="28"/>
          <w:highlight w:val="none"/>
        </w:rPr>
        <w:t>月</w:t>
      </w:r>
      <w:r>
        <w:rPr>
          <w:rFonts w:hint="eastAsia" w:ascii="宋体" w:hAnsi="宋体"/>
          <w:color w:val="auto"/>
          <w:sz w:val="28"/>
          <w:highlight w:val="none"/>
          <w:lang w:val="en-US" w:eastAsia="zh-CN"/>
        </w:rPr>
        <w:t>09</w:t>
      </w:r>
      <w:r>
        <w:rPr>
          <w:rFonts w:hint="eastAsia" w:ascii="宋体" w:hAnsi="宋体"/>
          <w:color w:val="auto"/>
          <w:sz w:val="28"/>
          <w:highlight w:val="none"/>
        </w:rPr>
        <w:t>日，检测报告见附件。</w:t>
      </w:r>
    </w:p>
    <w:p w14:paraId="54138E6D">
      <w:pPr>
        <w:pStyle w:val="11"/>
        <w:keepLines w:val="0"/>
        <w:widowControl w:val="0"/>
        <w:shd w:val="clear"/>
        <w:wordWrap/>
        <w:overflowPunct/>
        <w:topLinePunct w:val="0"/>
        <w:bidi w:val="0"/>
        <w:adjustRightInd w:val="0"/>
        <w:snapToGrid w:val="0"/>
        <w:spacing w:line="360" w:lineRule="auto"/>
        <w:ind w:firstLine="560"/>
        <w:rPr>
          <w:rFonts w:hint="default" w:ascii="宋体"/>
          <w:color w:val="auto"/>
          <w:highlight w:val="none"/>
          <w:shd w:val="clear" w:fill="FFC000"/>
          <w:lang w:val="en-US"/>
        </w:rPr>
      </w:pPr>
      <w:r>
        <w:rPr>
          <w:rFonts w:hint="eastAsia" w:ascii="宋体"/>
          <w:color w:val="auto"/>
          <w:highlight w:val="none"/>
          <w:shd w:val="clear"/>
          <w:lang w:val="en-US" w:eastAsia="zh-CN"/>
        </w:rPr>
        <w:t>郑州宏安达电子监测技术有限公司对该站的可燃气体检测报警器进行了相关的出厂检验，出具了合格的《检验报告》，报告编号分别为：检验结论为：合格。出厂日期为2025年01月，有效期至2026年01月。</w:t>
      </w:r>
    </w:p>
    <w:p w14:paraId="2C452701">
      <w:pPr>
        <w:pStyle w:val="11"/>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太平洋财产</w:t>
      </w:r>
      <w:r>
        <w:rPr>
          <w:rFonts w:hint="eastAsia" w:ascii="宋体"/>
          <w:color w:val="auto"/>
          <w:highlight w:val="none"/>
        </w:rPr>
        <w:t>保险股份有限公司</w:t>
      </w:r>
      <w:r>
        <w:rPr>
          <w:rFonts w:hint="eastAsia" w:ascii="宋体"/>
          <w:color w:val="auto"/>
          <w:highlight w:val="none"/>
          <w:lang w:val="en-US" w:eastAsia="zh-CN"/>
        </w:rPr>
        <w:t>山东分公司</w:t>
      </w:r>
      <w:r>
        <w:rPr>
          <w:rFonts w:hint="eastAsia" w:ascii="宋体"/>
          <w:color w:val="auto"/>
          <w:highlight w:val="none"/>
        </w:rPr>
        <w:t>投保安全生产责任保险，保险期限202</w:t>
      </w:r>
      <w:r>
        <w:rPr>
          <w:rFonts w:hint="eastAsia" w:ascii="宋体"/>
          <w:color w:val="auto"/>
          <w:highlight w:val="none"/>
          <w:lang w:val="en-US" w:eastAsia="zh-CN"/>
        </w:rPr>
        <w:t>4</w:t>
      </w:r>
      <w:r>
        <w:rPr>
          <w:rFonts w:hint="eastAsia" w:ascii="宋体"/>
          <w:color w:val="auto"/>
          <w:highlight w:val="none"/>
        </w:rPr>
        <w:t>年</w:t>
      </w:r>
      <w:r>
        <w:rPr>
          <w:rFonts w:hint="eastAsia" w:ascii="宋体"/>
          <w:color w:val="auto"/>
          <w:highlight w:val="none"/>
          <w:lang w:val="en-US" w:eastAsia="zh-CN"/>
        </w:rPr>
        <w:t>11</w:t>
      </w:r>
      <w:r>
        <w:rPr>
          <w:rFonts w:hint="eastAsia" w:ascii="宋体"/>
          <w:color w:val="auto"/>
          <w:highlight w:val="none"/>
        </w:rPr>
        <w:t>月</w:t>
      </w:r>
      <w:r>
        <w:rPr>
          <w:rFonts w:hint="eastAsia" w:ascii="宋体"/>
          <w:color w:val="auto"/>
          <w:highlight w:val="none"/>
          <w:lang w:val="en-US" w:eastAsia="zh-CN"/>
        </w:rPr>
        <w:t>12</w:t>
      </w:r>
      <w:r>
        <w:rPr>
          <w:rFonts w:hint="eastAsia" w:ascii="宋体"/>
          <w:color w:val="auto"/>
          <w:highlight w:val="none"/>
        </w:rPr>
        <w:t>日至202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11</w:t>
      </w:r>
      <w:r>
        <w:rPr>
          <w:rFonts w:hint="eastAsia" w:ascii="宋体"/>
          <w:color w:val="auto"/>
          <w:highlight w:val="none"/>
        </w:rPr>
        <w:t>月</w:t>
      </w:r>
      <w:r>
        <w:rPr>
          <w:rFonts w:hint="eastAsia" w:ascii="宋体"/>
          <w:color w:val="auto"/>
          <w:highlight w:val="none"/>
          <w:lang w:val="en-US" w:eastAsia="zh-CN"/>
        </w:rPr>
        <w:t>11</w:t>
      </w:r>
      <w:r>
        <w:rPr>
          <w:rFonts w:hint="eastAsia" w:ascii="宋体"/>
          <w:color w:val="auto"/>
          <w:highlight w:val="none"/>
        </w:rPr>
        <w:t>日，详见附件。</w:t>
      </w:r>
    </w:p>
    <w:p w14:paraId="0693CF36">
      <w:pPr>
        <w:pStyle w:val="11"/>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79A8433E">
      <w:pPr>
        <w:pStyle w:val="11"/>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2</w:t>
      </w:r>
      <w:r>
        <w:rPr>
          <w:rFonts w:hint="eastAsia" w:ascii="宋体"/>
          <w:color w:val="auto"/>
          <w:highlight w:val="none"/>
        </w:rPr>
        <w:t>具，</w:t>
      </w:r>
      <w:r>
        <w:rPr>
          <w:rFonts w:hint="eastAsia" w:ascii="宋体"/>
          <w:color w:val="auto"/>
          <w:highlight w:val="none"/>
          <w:lang w:val="en-US" w:eastAsia="zh-CN"/>
        </w:rPr>
        <w:t>8</w:t>
      </w:r>
      <w:r>
        <w:rPr>
          <w:rFonts w:hint="eastAsia" w:ascii="宋体"/>
          <w:color w:val="auto"/>
          <w:highlight w:val="none"/>
        </w:rPr>
        <w:t>kg手提式干粉灭火器</w:t>
      </w:r>
      <w:r>
        <w:rPr>
          <w:rFonts w:hint="eastAsia" w:ascii="宋体"/>
          <w:color w:val="auto"/>
          <w:highlight w:val="none"/>
          <w:lang w:val="en-US" w:eastAsia="zh-CN"/>
        </w:rPr>
        <w:t>6</w:t>
      </w:r>
      <w:r>
        <w:rPr>
          <w:rFonts w:hint="eastAsia" w:ascii="宋体"/>
          <w:color w:val="auto"/>
          <w:highlight w:val="none"/>
        </w:rPr>
        <w:t>具，CO</w:t>
      </w:r>
      <w:r>
        <w:rPr>
          <w:rFonts w:hint="eastAsia" w:ascii="宋体"/>
          <w:color w:val="auto"/>
          <w:highlight w:val="none"/>
          <w:vertAlign w:val="subscript"/>
        </w:rPr>
        <w:t>2</w:t>
      </w:r>
      <w:r>
        <w:rPr>
          <w:rFonts w:hint="eastAsia" w:ascii="宋体"/>
          <w:color w:val="auto"/>
          <w:highlight w:val="none"/>
        </w:rPr>
        <w:t>灭火器</w:t>
      </w:r>
      <w:r>
        <w:rPr>
          <w:rFonts w:hint="eastAsia" w:ascii="宋体"/>
          <w:color w:val="auto"/>
          <w:highlight w:val="none"/>
          <w:lang w:val="en-US" w:eastAsia="zh-CN"/>
        </w:rPr>
        <w:t>4</w:t>
      </w:r>
      <w:r>
        <w:rPr>
          <w:rFonts w:hint="eastAsia" w:ascii="宋体"/>
          <w:color w:val="auto"/>
          <w:highlight w:val="none"/>
        </w:rPr>
        <w:t>具，灭火毯</w:t>
      </w:r>
      <w:r>
        <w:rPr>
          <w:rFonts w:hint="eastAsia" w:ascii="宋体"/>
          <w:color w:val="auto"/>
          <w:highlight w:val="none"/>
          <w:lang w:val="en-US" w:eastAsia="zh-CN"/>
        </w:rPr>
        <w:t>4</w:t>
      </w:r>
      <w:r>
        <w:rPr>
          <w:rFonts w:hint="eastAsia" w:ascii="宋体"/>
          <w:color w:val="auto"/>
          <w:highlight w:val="none"/>
        </w:rPr>
        <w:t>块，消防锨</w:t>
      </w:r>
      <w:r>
        <w:rPr>
          <w:rFonts w:hint="eastAsia" w:ascii="宋体"/>
          <w:color w:val="auto"/>
          <w:highlight w:val="none"/>
          <w:lang w:val="en-US" w:eastAsia="zh-CN"/>
        </w:rPr>
        <w:t>2</w:t>
      </w:r>
      <w:r>
        <w:rPr>
          <w:rFonts w:hint="eastAsia" w:ascii="宋体"/>
          <w:color w:val="auto"/>
          <w:highlight w:val="none"/>
        </w:rPr>
        <w:t>把，消防桶2个，消防沙池2m</w:t>
      </w:r>
      <w:r>
        <w:rPr>
          <w:rFonts w:hint="eastAsia" w:ascii="宋体"/>
          <w:color w:val="auto"/>
          <w:highlight w:val="none"/>
          <w:vertAlign w:val="superscript"/>
        </w:rPr>
        <w:t>3</w:t>
      </w:r>
      <w:r>
        <w:rPr>
          <w:rFonts w:hint="eastAsia" w:ascii="宋体"/>
          <w:color w:val="auto"/>
          <w:highlight w:val="none"/>
        </w:rPr>
        <w:t>。</w:t>
      </w:r>
    </w:p>
    <w:p w14:paraId="57E8458B">
      <w:pPr>
        <w:pStyle w:val="11"/>
        <w:widowControl w:val="0"/>
        <w:adjustRightInd w:val="0"/>
        <w:snapToGrid w:val="0"/>
        <w:spacing w:line="360" w:lineRule="auto"/>
        <w:ind w:firstLine="560"/>
        <w:rPr>
          <w:rFonts w:ascii="宋体"/>
          <w:color w:val="auto"/>
          <w:highlight w:val="none"/>
        </w:rPr>
      </w:pPr>
      <w:r>
        <w:rPr>
          <w:rFonts w:hint="eastAsia" w:ascii="宋体"/>
          <w:color w:val="auto"/>
          <w:highlight w:val="none"/>
        </w:rPr>
        <w:t>该加油站按功能分区布置，有油罐区、加油区、</w:t>
      </w:r>
      <w:r>
        <w:rPr>
          <w:rFonts w:hint="eastAsia" w:ascii="宋体"/>
          <w:color w:val="auto"/>
          <w:highlight w:val="none"/>
          <w:lang w:val="en-US" w:eastAsia="zh-CN"/>
        </w:rPr>
        <w:t>站房</w:t>
      </w:r>
      <w:r>
        <w:rPr>
          <w:rFonts w:hint="eastAsia" w:ascii="宋体"/>
          <w:color w:val="auto"/>
          <w:highlight w:val="none"/>
        </w:rPr>
        <w:t>，布置较合理。</w:t>
      </w:r>
    </w:p>
    <w:p w14:paraId="7B62C9B8">
      <w:pPr>
        <w:pStyle w:val="11"/>
        <w:widowControl w:val="0"/>
        <w:adjustRightInd w:val="0"/>
        <w:snapToGrid w:val="0"/>
        <w:spacing w:line="360" w:lineRule="auto"/>
        <w:ind w:firstLine="560"/>
        <w:rPr>
          <w:rFonts w:ascii="宋体"/>
          <w:color w:val="auto"/>
          <w:highlight w:val="none"/>
        </w:rPr>
      </w:pPr>
      <w:r>
        <w:rPr>
          <w:rFonts w:hint="eastAsia" w:ascii="宋体"/>
          <w:color w:val="auto"/>
          <w:highlight w:val="none"/>
        </w:rPr>
        <w:t>站房地上一层（砖混），罩棚为钢架结构。</w:t>
      </w:r>
      <w:r>
        <w:rPr>
          <w:rFonts w:ascii="宋体"/>
          <w:color w:val="auto"/>
          <w:highlight w:val="none"/>
        </w:rPr>
        <w:t>该站基本情况见下表2.1-2。</w:t>
      </w:r>
      <w:r>
        <w:rPr>
          <w:rFonts w:hint="eastAsia" w:ascii="宋体"/>
          <w:color w:val="auto"/>
          <w:highlight w:val="none"/>
        </w:rPr>
        <w:t xml:space="preserve">                                                                                                                                                                                                                                                                                                                                                                                                                                                                                                                                                                                                                                                                                                                                                                                                                                                                                                                                                                                                                                                                                                                                                                                                                                                                                                                                                                                                                                                                                                                                                                                                                                                                                                                                                                                                                                                                                                                                                                                                                                                                                                                                                                                                                                                                                                                                                                                                                                                                                                                                                                                                                                                                                                                                                                                                                                                                                                                                                                                                                                                                                                                                                                                                                                                                                                                                                                  </w:t>
      </w:r>
    </w:p>
    <w:p w14:paraId="3297CD5A">
      <w:pPr>
        <w:pStyle w:val="13"/>
        <w:widowControl w:val="0"/>
        <w:adjustRightInd w:val="0"/>
        <w:snapToGrid w:val="0"/>
        <w:spacing w:line="360" w:lineRule="auto"/>
        <w:outlineLvl w:val="9"/>
        <w:rPr>
          <w:rFonts w:ascii="黑体" w:hAnsi="黑体"/>
          <w:color w:val="auto"/>
          <w:highlight w:val="none"/>
        </w:rPr>
      </w:pPr>
      <w:r>
        <w:rPr>
          <w:rFonts w:ascii="黑体" w:hAnsi="黑体"/>
          <w:color w:val="auto"/>
          <w:highlight w:val="none"/>
        </w:rPr>
        <w:t>表2.1-2 加油站基本情况表</w:t>
      </w:r>
    </w:p>
    <w:tbl>
      <w:tblPr>
        <w:tblStyle w:val="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47"/>
        <w:gridCol w:w="1483"/>
        <w:gridCol w:w="996"/>
        <w:gridCol w:w="185"/>
        <w:gridCol w:w="1233"/>
        <w:gridCol w:w="223"/>
        <w:gridCol w:w="1196"/>
        <w:gridCol w:w="1285"/>
        <w:gridCol w:w="449"/>
        <w:gridCol w:w="1130"/>
      </w:tblGrid>
      <w:tr w14:paraId="6174ED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31D8FF36">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企业名称</w:t>
            </w:r>
          </w:p>
        </w:tc>
        <w:tc>
          <w:tcPr>
            <w:tcW w:w="4247" w:type="pct"/>
            <w:gridSpan w:val="9"/>
            <w:vAlign w:val="center"/>
          </w:tcPr>
          <w:p w14:paraId="5212A63F">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东平县泰鑫加油站</w:t>
            </w:r>
          </w:p>
        </w:tc>
      </w:tr>
      <w:tr w14:paraId="008E98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4B1B87F1">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注册地址</w:t>
            </w:r>
          </w:p>
        </w:tc>
        <w:tc>
          <w:tcPr>
            <w:tcW w:w="4247" w:type="pct"/>
            <w:gridSpan w:val="9"/>
            <w:vAlign w:val="center"/>
          </w:tcPr>
          <w:p w14:paraId="5432AA7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山东省泰安市东平县旧县乡政府驻地220国道与旧姜路交界处</w:t>
            </w:r>
          </w:p>
        </w:tc>
      </w:tr>
      <w:tr w14:paraId="16128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27F2367A">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电话</w:t>
            </w:r>
          </w:p>
        </w:tc>
        <w:tc>
          <w:tcPr>
            <w:tcW w:w="1287" w:type="pct"/>
            <w:gridSpan w:val="2"/>
            <w:vAlign w:val="center"/>
          </w:tcPr>
          <w:p w14:paraId="22D99397">
            <w:pPr>
              <w:jc w:val="center"/>
              <w:rPr>
                <w:rFonts w:hint="default"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13953828088</w:t>
            </w:r>
          </w:p>
        </w:tc>
        <w:tc>
          <w:tcPr>
            <w:tcW w:w="852" w:type="pct"/>
            <w:gridSpan w:val="3"/>
            <w:vAlign w:val="center"/>
          </w:tcPr>
          <w:p w14:paraId="6B2113E5">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传 真</w:t>
            </w:r>
          </w:p>
        </w:tc>
        <w:tc>
          <w:tcPr>
            <w:tcW w:w="621" w:type="pct"/>
            <w:vAlign w:val="center"/>
          </w:tcPr>
          <w:p w14:paraId="6B0273DF">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w:t>
            </w:r>
          </w:p>
        </w:tc>
        <w:tc>
          <w:tcPr>
            <w:tcW w:w="667" w:type="pct"/>
            <w:vAlign w:val="center"/>
          </w:tcPr>
          <w:p w14:paraId="0346A9C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邮政编码</w:t>
            </w:r>
          </w:p>
        </w:tc>
        <w:tc>
          <w:tcPr>
            <w:tcW w:w="820" w:type="pct"/>
            <w:gridSpan w:val="2"/>
            <w:vAlign w:val="center"/>
          </w:tcPr>
          <w:p w14:paraId="16594EA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271500</w:t>
            </w:r>
          </w:p>
        </w:tc>
      </w:tr>
      <w:tr w14:paraId="26DD6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0B50515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经营产品</w:t>
            </w:r>
          </w:p>
        </w:tc>
        <w:tc>
          <w:tcPr>
            <w:tcW w:w="4247" w:type="pct"/>
            <w:gridSpan w:val="9"/>
            <w:vAlign w:val="center"/>
          </w:tcPr>
          <w:p w14:paraId="7805B729">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汽油、乙醇汽油、柴油</w:t>
            </w:r>
          </w:p>
        </w:tc>
      </w:tr>
      <w:tr w14:paraId="02C9B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5A3FDEAC">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登记机关</w:t>
            </w:r>
          </w:p>
        </w:tc>
        <w:tc>
          <w:tcPr>
            <w:tcW w:w="4247" w:type="pct"/>
            <w:gridSpan w:val="9"/>
            <w:vAlign w:val="center"/>
          </w:tcPr>
          <w:p w14:paraId="0735D045">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东平县行政审批服务局</w:t>
            </w:r>
          </w:p>
        </w:tc>
      </w:tr>
      <w:tr w14:paraId="2F72E3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73654E15">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法定代表人</w:t>
            </w:r>
          </w:p>
        </w:tc>
        <w:tc>
          <w:tcPr>
            <w:tcW w:w="2023" w:type="pct"/>
            <w:gridSpan w:val="4"/>
            <w:vAlign w:val="center"/>
          </w:tcPr>
          <w:p w14:paraId="7767BC3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贺怀忠</w:t>
            </w:r>
          </w:p>
        </w:tc>
        <w:tc>
          <w:tcPr>
            <w:tcW w:w="737" w:type="pct"/>
            <w:gridSpan w:val="2"/>
            <w:vAlign w:val="center"/>
          </w:tcPr>
          <w:p w14:paraId="42DC796B">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站长</w:t>
            </w:r>
          </w:p>
        </w:tc>
        <w:tc>
          <w:tcPr>
            <w:tcW w:w="1487" w:type="pct"/>
            <w:gridSpan w:val="3"/>
            <w:vAlign w:val="center"/>
          </w:tcPr>
          <w:p w14:paraId="389E74DE">
            <w:pPr>
              <w:jc w:val="center"/>
              <w:rPr>
                <w:rFonts w:hint="default"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贺怀忠</w:t>
            </w:r>
          </w:p>
        </w:tc>
      </w:tr>
      <w:tr w14:paraId="28F73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52" w:type="pct"/>
            <w:vAlign w:val="center"/>
          </w:tcPr>
          <w:p w14:paraId="1290CB2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职工人数</w:t>
            </w:r>
          </w:p>
        </w:tc>
        <w:tc>
          <w:tcPr>
            <w:tcW w:w="770" w:type="pct"/>
            <w:vAlign w:val="center"/>
          </w:tcPr>
          <w:p w14:paraId="5CF5FD93">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6人</w:t>
            </w:r>
          </w:p>
        </w:tc>
        <w:tc>
          <w:tcPr>
            <w:tcW w:w="1253" w:type="pct"/>
            <w:gridSpan w:val="3"/>
            <w:vAlign w:val="center"/>
          </w:tcPr>
          <w:p w14:paraId="5CCA7CFB">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站长</w:t>
            </w:r>
          </w:p>
        </w:tc>
        <w:tc>
          <w:tcPr>
            <w:tcW w:w="737" w:type="pct"/>
            <w:gridSpan w:val="2"/>
            <w:vAlign w:val="center"/>
          </w:tcPr>
          <w:p w14:paraId="0036CEA7">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w:t>
            </w:r>
          </w:p>
        </w:tc>
        <w:tc>
          <w:tcPr>
            <w:tcW w:w="667" w:type="pct"/>
            <w:vAlign w:val="center"/>
          </w:tcPr>
          <w:p w14:paraId="7AB84130">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安全员</w:t>
            </w:r>
          </w:p>
        </w:tc>
        <w:tc>
          <w:tcPr>
            <w:tcW w:w="820" w:type="pct"/>
            <w:gridSpan w:val="2"/>
            <w:vAlign w:val="center"/>
          </w:tcPr>
          <w:p w14:paraId="0FC99097">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w:t>
            </w:r>
          </w:p>
        </w:tc>
      </w:tr>
      <w:tr w14:paraId="09EF63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restart"/>
            <w:vAlign w:val="center"/>
          </w:tcPr>
          <w:p w14:paraId="7C53873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经营场所</w:t>
            </w:r>
          </w:p>
        </w:tc>
        <w:tc>
          <w:tcPr>
            <w:tcW w:w="770" w:type="pct"/>
            <w:vAlign w:val="center"/>
          </w:tcPr>
          <w:p w14:paraId="4AEF69AE">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产  权</w:t>
            </w:r>
          </w:p>
        </w:tc>
        <w:tc>
          <w:tcPr>
            <w:tcW w:w="3477" w:type="pct"/>
            <w:gridSpan w:val="8"/>
            <w:vAlign w:val="center"/>
          </w:tcPr>
          <w:p w14:paraId="7D770E1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自有□租赁☑承包☑</w:t>
            </w:r>
          </w:p>
        </w:tc>
      </w:tr>
      <w:tr w14:paraId="008B03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continue"/>
            <w:vAlign w:val="center"/>
          </w:tcPr>
          <w:p w14:paraId="74BD821F">
            <w:pPr>
              <w:jc w:val="center"/>
              <w:rPr>
                <w:rFonts w:hint="eastAsia" w:ascii="宋体" w:hAnsi="宋体" w:cs="宋体" w:eastAsiaTheme="minorEastAsia"/>
                <w:bCs/>
                <w:color w:val="auto"/>
                <w:szCs w:val="24"/>
                <w:highlight w:val="none"/>
                <w:lang w:val="en-US" w:eastAsia="zh-CN"/>
              </w:rPr>
            </w:pPr>
          </w:p>
        </w:tc>
        <w:tc>
          <w:tcPr>
            <w:tcW w:w="770" w:type="pct"/>
            <w:vAlign w:val="center"/>
          </w:tcPr>
          <w:p w14:paraId="3E576AE4">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站房面积</w:t>
            </w:r>
          </w:p>
        </w:tc>
        <w:tc>
          <w:tcPr>
            <w:tcW w:w="613" w:type="pct"/>
            <w:gridSpan w:val="2"/>
            <w:vAlign w:val="center"/>
          </w:tcPr>
          <w:p w14:paraId="7379978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108㎡</w:t>
            </w:r>
          </w:p>
        </w:tc>
        <w:tc>
          <w:tcPr>
            <w:tcW w:w="639" w:type="pct"/>
            <w:vAlign w:val="center"/>
          </w:tcPr>
          <w:p w14:paraId="2ED9F911">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罩棚面积</w:t>
            </w:r>
          </w:p>
        </w:tc>
        <w:tc>
          <w:tcPr>
            <w:tcW w:w="737" w:type="pct"/>
            <w:gridSpan w:val="2"/>
            <w:vAlign w:val="center"/>
          </w:tcPr>
          <w:p w14:paraId="3A8DD652">
            <w:pPr>
              <w:jc w:val="center"/>
              <w:rPr>
                <w:rFonts w:hint="default"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120㎡</w:t>
            </w:r>
          </w:p>
        </w:tc>
        <w:tc>
          <w:tcPr>
            <w:tcW w:w="667" w:type="pct"/>
            <w:vAlign w:val="center"/>
          </w:tcPr>
          <w:p w14:paraId="1D2E9360">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罩棚高度</w:t>
            </w:r>
          </w:p>
        </w:tc>
        <w:tc>
          <w:tcPr>
            <w:tcW w:w="820" w:type="pct"/>
            <w:gridSpan w:val="2"/>
            <w:vAlign w:val="center"/>
          </w:tcPr>
          <w:p w14:paraId="37978BD7">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7.1m</w:t>
            </w:r>
          </w:p>
        </w:tc>
      </w:tr>
      <w:tr w14:paraId="159A0D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restart"/>
            <w:vAlign w:val="center"/>
          </w:tcPr>
          <w:p w14:paraId="6649E3DD">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储存设施</w:t>
            </w:r>
          </w:p>
        </w:tc>
        <w:tc>
          <w:tcPr>
            <w:tcW w:w="770" w:type="pct"/>
            <w:vAlign w:val="center"/>
          </w:tcPr>
          <w:p w14:paraId="03BEAD2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汽油</w:t>
            </w:r>
          </w:p>
        </w:tc>
        <w:tc>
          <w:tcPr>
            <w:tcW w:w="1990" w:type="pct"/>
            <w:gridSpan w:val="5"/>
            <w:vAlign w:val="center"/>
          </w:tcPr>
          <w:p w14:paraId="3A44EDC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1个92#汽油罐，容积为 30 m³</w:t>
            </w:r>
          </w:p>
          <w:p w14:paraId="3219A07D">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1个95#汽油罐，容积为 30 m³</w:t>
            </w:r>
          </w:p>
        </w:tc>
        <w:tc>
          <w:tcPr>
            <w:tcW w:w="1487" w:type="pct"/>
            <w:gridSpan w:val="3"/>
            <w:vMerge w:val="restart"/>
            <w:vAlign w:val="center"/>
          </w:tcPr>
          <w:p w14:paraId="04FBB07A">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是否为双层罐：是☑否□</w:t>
            </w:r>
          </w:p>
          <w:p w14:paraId="78F555C3">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储存能力：90m</w:t>
            </w:r>
            <w:r>
              <w:rPr>
                <w:rFonts w:hint="eastAsia" w:ascii="宋体" w:hAnsi="宋体" w:cs="宋体" w:eastAsiaTheme="minorEastAsia"/>
                <w:bCs/>
                <w:color w:val="auto"/>
                <w:szCs w:val="24"/>
                <w:highlight w:val="none"/>
                <w:vertAlign w:val="superscript"/>
                <w:lang w:val="en-US" w:eastAsia="zh-CN"/>
              </w:rPr>
              <w:t>3</w:t>
            </w:r>
          </w:p>
        </w:tc>
      </w:tr>
      <w:tr w14:paraId="4E2EA6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continue"/>
            <w:vAlign w:val="center"/>
          </w:tcPr>
          <w:p w14:paraId="6A59E9CC">
            <w:pPr>
              <w:jc w:val="center"/>
              <w:rPr>
                <w:rFonts w:hint="eastAsia" w:ascii="宋体" w:hAnsi="宋体" w:cs="宋体" w:eastAsiaTheme="minorEastAsia"/>
                <w:bCs/>
                <w:color w:val="auto"/>
                <w:szCs w:val="24"/>
                <w:highlight w:val="none"/>
                <w:lang w:val="en-US" w:eastAsia="zh-CN"/>
              </w:rPr>
            </w:pPr>
          </w:p>
        </w:tc>
        <w:tc>
          <w:tcPr>
            <w:tcW w:w="770" w:type="pct"/>
            <w:vAlign w:val="center"/>
          </w:tcPr>
          <w:p w14:paraId="0E217586">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柴油</w:t>
            </w:r>
          </w:p>
        </w:tc>
        <w:tc>
          <w:tcPr>
            <w:tcW w:w="1990" w:type="pct"/>
            <w:gridSpan w:val="5"/>
            <w:vAlign w:val="center"/>
          </w:tcPr>
          <w:p w14:paraId="1C05B24F">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共1个柴油罐，每罐容积为30 m³</w:t>
            </w:r>
          </w:p>
        </w:tc>
        <w:tc>
          <w:tcPr>
            <w:tcW w:w="1487" w:type="pct"/>
            <w:gridSpan w:val="3"/>
            <w:vMerge w:val="continue"/>
            <w:vAlign w:val="center"/>
          </w:tcPr>
          <w:p w14:paraId="1AFF18BF">
            <w:pPr>
              <w:jc w:val="center"/>
              <w:rPr>
                <w:rFonts w:hint="eastAsia" w:ascii="宋体" w:hAnsi="宋体" w:cs="宋体" w:eastAsiaTheme="minorEastAsia"/>
                <w:bCs/>
                <w:color w:val="auto"/>
                <w:szCs w:val="24"/>
                <w:highlight w:val="none"/>
                <w:lang w:val="en-US" w:eastAsia="zh-CN"/>
              </w:rPr>
            </w:pPr>
          </w:p>
        </w:tc>
      </w:tr>
      <w:tr w14:paraId="7DF667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restart"/>
            <w:vAlign w:val="center"/>
          </w:tcPr>
          <w:p w14:paraId="20F64EC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加油设施</w:t>
            </w:r>
          </w:p>
        </w:tc>
        <w:tc>
          <w:tcPr>
            <w:tcW w:w="770" w:type="pct"/>
            <w:vAlign w:val="center"/>
          </w:tcPr>
          <w:p w14:paraId="3DBCC03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加油机</w:t>
            </w:r>
          </w:p>
        </w:tc>
        <w:tc>
          <w:tcPr>
            <w:tcW w:w="3477" w:type="pct"/>
            <w:gridSpan w:val="8"/>
            <w:vAlign w:val="center"/>
          </w:tcPr>
          <w:p w14:paraId="651F0823">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罩棚下设置2台四枪加油机</w:t>
            </w:r>
          </w:p>
          <w:p w14:paraId="4EC18131">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（1台四枪柴油，1台双枪92#汽油、双枪95#汽油）</w:t>
            </w:r>
          </w:p>
        </w:tc>
      </w:tr>
      <w:tr w14:paraId="1960CA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continue"/>
            <w:vAlign w:val="center"/>
          </w:tcPr>
          <w:p w14:paraId="248FF3F5">
            <w:pPr>
              <w:jc w:val="center"/>
              <w:rPr>
                <w:rFonts w:hint="eastAsia" w:ascii="宋体" w:hAnsi="宋体" w:cs="宋体" w:eastAsiaTheme="minorEastAsia"/>
                <w:bCs/>
                <w:color w:val="auto"/>
                <w:szCs w:val="24"/>
                <w:highlight w:val="none"/>
                <w:lang w:val="en-US" w:eastAsia="zh-CN"/>
              </w:rPr>
            </w:pPr>
          </w:p>
        </w:tc>
        <w:tc>
          <w:tcPr>
            <w:tcW w:w="770" w:type="pct"/>
            <w:vAlign w:val="center"/>
          </w:tcPr>
          <w:p w14:paraId="6D93C2AE">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加油方式</w:t>
            </w:r>
          </w:p>
        </w:tc>
        <w:tc>
          <w:tcPr>
            <w:tcW w:w="3477" w:type="pct"/>
            <w:gridSpan w:val="8"/>
            <w:vAlign w:val="center"/>
          </w:tcPr>
          <w:p w14:paraId="7DCCE811">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潜油泵式□ 自吸式☑</w:t>
            </w:r>
          </w:p>
        </w:tc>
      </w:tr>
      <w:tr w14:paraId="44615B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restart"/>
            <w:vAlign w:val="center"/>
          </w:tcPr>
          <w:p w14:paraId="14A23BD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消防设施</w:t>
            </w:r>
          </w:p>
        </w:tc>
        <w:tc>
          <w:tcPr>
            <w:tcW w:w="770" w:type="pct"/>
            <w:vAlign w:val="center"/>
          </w:tcPr>
          <w:p w14:paraId="1F629C4E">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推车式35 kg干粉灭火器</w:t>
            </w:r>
          </w:p>
        </w:tc>
        <w:tc>
          <w:tcPr>
            <w:tcW w:w="613" w:type="pct"/>
            <w:gridSpan w:val="2"/>
            <w:vAlign w:val="center"/>
          </w:tcPr>
          <w:p w14:paraId="0F4F07B2">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2具</w:t>
            </w:r>
          </w:p>
        </w:tc>
        <w:tc>
          <w:tcPr>
            <w:tcW w:w="1376" w:type="pct"/>
            <w:gridSpan w:val="3"/>
            <w:vAlign w:val="center"/>
          </w:tcPr>
          <w:p w14:paraId="19F79A23">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8kg手提式干粉灭火器</w:t>
            </w:r>
          </w:p>
        </w:tc>
        <w:tc>
          <w:tcPr>
            <w:tcW w:w="1487" w:type="pct"/>
            <w:gridSpan w:val="3"/>
            <w:vAlign w:val="center"/>
          </w:tcPr>
          <w:p w14:paraId="27CFD2BB">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6具</w:t>
            </w:r>
          </w:p>
        </w:tc>
      </w:tr>
      <w:tr w14:paraId="090AFE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continue"/>
            <w:vAlign w:val="center"/>
          </w:tcPr>
          <w:p w14:paraId="0B498334">
            <w:pPr>
              <w:jc w:val="center"/>
              <w:rPr>
                <w:rFonts w:hint="eastAsia" w:ascii="宋体" w:hAnsi="宋体" w:cs="宋体" w:eastAsiaTheme="minorEastAsia"/>
                <w:bCs/>
                <w:color w:val="auto"/>
                <w:szCs w:val="24"/>
                <w:highlight w:val="none"/>
                <w:lang w:val="en-US" w:eastAsia="zh-CN"/>
              </w:rPr>
            </w:pPr>
          </w:p>
        </w:tc>
        <w:tc>
          <w:tcPr>
            <w:tcW w:w="770" w:type="pct"/>
            <w:vAlign w:val="center"/>
          </w:tcPr>
          <w:p w14:paraId="3CF87F39">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CO</w:t>
            </w:r>
            <w:r>
              <w:rPr>
                <w:rFonts w:hint="eastAsia" w:ascii="宋体" w:hAnsi="宋体" w:cs="宋体" w:eastAsiaTheme="minorEastAsia"/>
                <w:bCs/>
                <w:color w:val="auto"/>
                <w:szCs w:val="24"/>
                <w:highlight w:val="none"/>
                <w:vertAlign w:val="subscript"/>
                <w:lang w:val="en-US" w:eastAsia="zh-CN"/>
              </w:rPr>
              <w:t>2</w:t>
            </w:r>
            <w:r>
              <w:rPr>
                <w:rFonts w:hint="eastAsia" w:ascii="宋体" w:hAnsi="宋体" w:cs="宋体" w:eastAsiaTheme="minorEastAsia"/>
                <w:bCs/>
                <w:color w:val="auto"/>
                <w:szCs w:val="24"/>
                <w:highlight w:val="none"/>
                <w:lang w:val="en-US" w:eastAsia="zh-CN"/>
              </w:rPr>
              <w:t>灭火器</w:t>
            </w:r>
          </w:p>
        </w:tc>
        <w:tc>
          <w:tcPr>
            <w:tcW w:w="613" w:type="pct"/>
            <w:gridSpan w:val="2"/>
            <w:vAlign w:val="center"/>
          </w:tcPr>
          <w:p w14:paraId="5D6EE97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4具</w:t>
            </w:r>
          </w:p>
        </w:tc>
        <w:tc>
          <w:tcPr>
            <w:tcW w:w="639" w:type="pct"/>
            <w:vAlign w:val="center"/>
          </w:tcPr>
          <w:p w14:paraId="5E7F602A">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消防锨</w:t>
            </w:r>
          </w:p>
        </w:tc>
        <w:tc>
          <w:tcPr>
            <w:tcW w:w="737" w:type="pct"/>
            <w:gridSpan w:val="2"/>
            <w:vAlign w:val="center"/>
          </w:tcPr>
          <w:p w14:paraId="13F011ED">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4把</w:t>
            </w:r>
          </w:p>
        </w:tc>
        <w:tc>
          <w:tcPr>
            <w:tcW w:w="900" w:type="pct"/>
            <w:gridSpan w:val="2"/>
            <w:vAlign w:val="center"/>
          </w:tcPr>
          <w:p w14:paraId="53F79CAD">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灭火毯</w:t>
            </w:r>
          </w:p>
        </w:tc>
        <w:tc>
          <w:tcPr>
            <w:tcW w:w="587" w:type="pct"/>
            <w:vAlign w:val="center"/>
          </w:tcPr>
          <w:p w14:paraId="62727D67">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2块</w:t>
            </w:r>
          </w:p>
        </w:tc>
      </w:tr>
      <w:tr w14:paraId="3E0F64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52" w:type="pct"/>
            <w:vMerge w:val="continue"/>
            <w:vAlign w:val="center"/>
          </w:tcPr>
          <w:p w14:paraId="5CD9CF6E">
            <w:pPr>
              <w:jc w:val="center"/>
              <w:rPr>
                <w:rFonts w:hint="eastAsia" w:ascii="宋体" w:hAnsi="宋体" w:cs="宋体" w:eastAsiaTheme="minorEastAsia"/>
                <w:bCs/>
                <w:color w:val="auto"/>
                <w:szCs w:val="24"/>
                <w:highlight w:val="none"/>
                <w:lang w:val="en-US" w:eastAsia="zh-CN"/>
              </w:rPr>
            </w:pPr>
          </w:p>
        </w:tc>
        <w:tc>
          <w:tcPr>
            <w:tcW w:w="770" w:type="pct"/>
            <w:vAlign w:val="center"/>
          </w:tcPr>
          <w:p w14:paraId="371D5700">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消防桶</w:t>
            </w:r>
          </w:p>
        </w:tc>
        <w:tc>
          <w:tcPr>
            <w:tcW w:w="613" w:type="pct"/>
            <w:gridSpan w:val="2"/>
            <w:vAlign w:val="center"/>
          </w:tcPr>
          <w:p w14:paraId="52E89E77">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2个</w:t>
            </w:r>
          </w:p>
        </w:tc>
        <w:tc>
          <w:tcPr>
            <w:tcW w:w="639" w:type="pct"/>
            <w:vAlign w:val="center"/>
          </w:tcPr>
          <w:p w14:paraId="183F66E8">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消防沙池</w:t>
            </w:r>
          </w:p>
        </w:tc>
        <w:tc>
          <w:tcPr>
            <w:tcW w:w="737" w:type="pct"/>
            <w:gridSpan w:val="2"/>
            <w:vAlign w:val="center"/>
          </w:tcPr>
          <w:p w14:paraId="62F1CBF0">
            <w:pPr>
              <w:jc w:val="center"/>
              <w:rPr>
                <w:rFonts w:hint="eastAsia" w:ascii="宋体" w:hAnsi="宋体" w:cs="宋体" w:eastAsiaTheme="minorEastAsia"/>
                <w:bCs/>
                <w:color w:val="auto"/>
                <w:szCs w:val="24"/>
                <w:highlight w:val="none"/>
                <w:lang w:val="en-US" w:eastAsia="zh-CN"/>
              </w:rPr>
            </w:pPr>
            <w:r>
              <w:rPr>
                <w:rFonts w:hint="eastAsia" w:ascii="宋体" w:hAnsi="宋体" w:cs="宋体" w:eastAsiaTheme="minorEastAsia"/>
                <w:bCs/>
                <w:color w:val="auto"/>
                <w:szCs w:val="24"/>
                <w:highlight w:val="none"/>
                <w:lang w:val="en-US" w:eastAsia="zh-CN"/>
              </w:rPr>
              <w:t>2m</w:t>
            </w:r>
            <w:r>
              <w:rPr>
                <w:rFonts w:hint="eastAsia" w:ascii="宋体" w:hAnsi="宋体" w:cs="宋体" w:eastAsiaTheme="minorEastAsia"/>
                <w:bCs/>
                <w:color w:val="auto"/>
                <w:szCs w:val="24"/>
                <w:highlight w:val="none"/>
                <w:vertAlign w:val="superscript"/>
                <w:lang w:val="en-US" w:eastAsia="zh-CN"/>
              </w:rPr>
              <w:t>3</w:t>
            </w:r>
          </w:p>
        </w:tc>
        <w:tc>
          <w:tcPr>
            <w:tcW w:w="1487" w:type="pct"/>
            <w:gridSpan w:val="3"/>
            <w:vAlign w:val="center"/>
          </w:tcPr>
          <w:p w14:paraId="15AB0B3C">
            <w:pPr>
              <w:jc w:val="center"/>
              <w:rPr>
                <w:rFonts w:hint="eastAsia" w:ascii="宋体" w:hAnsi="宋体" w:cs="宋体" w:eastAsiaTheme="minorEastAsia"/>
                <w:bCs/>
                <w:color w:val="auto"/>
                <w:szCs w:val="24"/>
                <w:highlight w:val="none"/>
                <w:lang w:val="en-US" w:eastAsia="zh-CN"/>
              </w:rPr>
            </w:pPr>
          </w:p>
        </w:tc>
      </w:tr>
    </w:tbl>
    <w:p w14:paraId="2D534B63">
      <w:pPr>
        <w:pStyle w:val="12"/>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8" w:name="_Toc102634407"/>
      <w:bookmarkStart w:id="19" w:name="_Toc102634256"/>
      <w:bookmarkStart w:id="20" w:name="_Toc198026273"/>
      <w:bookmarkStart w:id="21" w:name="_Toc15033754"/>
      <w:bookmarkStart w:id="22" w:name="_Toc238007574"/>
      <w:bookmarkStart w:id="23" w:name="_Toc192907201"/>
      <w:bookmarkStart w:id="24" w:name="_Toc272364536"/>
      <w:bookmarkStart w:id="25" w:name="_Toc7829"/>
      <w:bookmarkStart w:id="26" w:name="_Toc23543"/>
      <w:bookmarkStart w:id="27" w:name="_Toc102633907"/>
      <w:bookmarkStart w:id="28" w:name="_Toc102633981"/>
      <w:r>
        <w:rPr>
          <w:rFonts w:ascii="Calibri" w:hAnsi="Calibri" w:eastAsia="楷体_GB2312"/>
          <w:b/>
          <w:color w:val="auto"/>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5239CF88">
      <w:pPr>
        <w:pStyle w:val="11"/>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6"/>
        <w:widowControl w:val="0"/>
        <w:spacing w:line="360" w:lineRule="auto"/>
        <w:ind w:firstLine="560"/>
        <w:jc w:val="both"/>
        <w:rPr>
          <w:color w:val="auto"/>
        </w:rPr>
      </w:pPr>
      <w:bookmarkStart w:id="29" w:name="_Toc102634257"/>
      <w:r>
        <w:rPr>
          <w:rFonts w:hint="eastAsia"/>
          <w:color w:val="auto"/>
        </w:rPr>
        <w:t>一</w:t>
      </w:r>
      <w:r>
        <w:rPr>
          <w:color w:val="auto"/>
        </w:rPr>
        <w:t>、以危险有害因素的类别为主划分评价单元</w:t>
      </w:r>
      <w:bookmarkEnd w:id="29"/>
    </w:p>
    <w:p w14:paraId="6C0E37D2">
      <w:pPr>
        <w:pStyle w:val="11"/>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11"/>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6"/>
        <w:widowControl w:val="0"/>
        <w:spacing w:line="360" w:lineRule="auto"/>
        <w:ind w:firstLine="560"/>
        <w:jc w:val="both"/>
        <w:rPr>
          <w:color w:val="auto"/>
        </w:rPr>
      </w:pPr>
      <w:bookmarkStart w:id="30" w:name="_Toc102634258"/>
      <w:r>
        <w:rPr>
          <w:rFonts w:hint="eastAsia"/>
          <w:color w:val="auto"/>
        </w:rPr>
        <w:t>二</w:t>
      </w:r>
      <w:r>
        <w:rPr>
          <w:color w:val="auto"/>
        </w:rPr>
        <w:t>、以物质特征划分评价单元</w:t>
      </w:r>
      <w:bookmarkEnd w:id="30"/>
    </w:p>
    <w:p w14:paraId="7543DE90">
      <w:pPr>
        <w:pStyle w:val="11"/>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11"/>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11"/>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11"/>
        <w:widowControl w:val="0"/>
        <w:spacing w:line="360" w:lineRule="auto"/>
        <w:ind w:firstLine="560"/>
        <w:rPr>
          <w:rFonts w:ascii="宋体"/>
          <w:color w:val="auto"/>
        </w:rPr>
      </w:pPr>
      <w:r>
        <w:rPr>
          <w:rFonts w:ascii="宋体"/>
          <w:color w:val="auto"/>
        </w:rPr>
        <w:t>1、安全管理；</w:t>
      </w:r>
    </w:p>
    <w:p w14:paraId="0E35C396">
      <w:pPr>
        <w:pStyle w:val="11"/>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11"/>
        <w:widowControl w:val="0"/>
        <w:spacing w:line="360" w:lineRule="auto"/>
        <w:ind w:firstLine="560"/>
        <w:rPr>
          <w:rFonts w:ascii="宋体"/>
          <w:color w:val="auto"/>
        </w:rPr>
      </w:pPr>
      <w:r>
        <w:rPr>
          <w:rFonts w:ascii="宋体"/>
          <w:color w:val="auto"/>
        </w:rPr>
        <w:t>3、加油工艺及设施；</w:t>
      </w:r>
    </w:p>
    <w:p w14:paraId="4C2E9B16">
      <w:pPr>
        <w:pStyle w:val="11"/>
        <w:widowControl w:val="0"/>
        <w:spacing w:line="360" w:lineRule="auto"/>
        <w:ind w:firstLine="560"/>
        <w:rPr>
          <w:rFonts w:hint="eastAsia" w:ascii="宋体"/>
          <w:color w:val="auto"/>
        </w:rPr>
      </w:pPr>
      <w:r>
        <w:rPr>
          <w:rFonts w:ascii="宋体"/>
          <w:color w:val="auto"/>
        </w:rPr>
        <w:t>4、其它安全设施等。</w:t>
      </w:r>
      <w:bookmarkStart w:id="31" w:name="_Toc198026274"/>
      <w:bookmarkStart w:id="32" w:name="_Toc272364537"/>
      <w:bookmarkStart w:id="33" w:name="_Toc238007575"/>
      <w:bookmarkStart w:id="34" w:name="_Toc192907202"/>
      <w:bookmarkStart w:id="35" w:name="_Toc15033755"/>
      <w:bookmarkStart w:id="36" w:name="_Toc188080068"/>
      <w:bookmarkStart w:id="37" w:name="_Toc24232"/>
      <w:bookmarkStart w:id="38" w:name="_Toc19785"/>
      <w:bookmarkStart w:id="39" w:name="_Toc188079886"/>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0" w:name="_Toc102634259"/>
      <w:bookmarkStart w:id="41" w:name="_Toc102633982"/>
      <w:bookmarkStart w:id="42" w:name="_Toc102633908"/>
      <w:bookmarkStart w:id="43" w:name="_Toc102634408"/>
      <w:r>
        <w:rPr>
          <w:rFonts w:ascii="Calibri" w:hAnsi="Calibri" w:eastAsia="楷体_GB2312"/>
          <w:b/>
          <w:color w:val="auto"/>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57D82CF9">
      <w:pPr>
        <w:pStyle w:val="11"/>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11"/>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11"/>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val="en-US" w:eastAsia="zh-CN"/>
        </w:rPr>
        <w:t>东平县泰鑫</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3"/>
        <w:widowControl w:val="0"/>
        <w:outlineLvl w:val="9"/>
        <w:rPr>
          <w:rFonts w:ascii="黑体" w:hAnsi="黑体"/>
          <w:color w:val="auto"/>
        </w:rPr>
      </w:pPr>
      <w:r>
        <w:rPr>
          <w:rFonts w:ascii="黑体" w:hAnsi="黑体"/>
          <w:color w:val="auto"/>
        </w:rPr>
        <w:t>表4.2-1 评价方法选择一览表</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4"/>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4"/>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4"/>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4"/>
              <w:widowControl w:val="0"/>
              <w:spacing w:line="360" w:lineRule="auto"/>
              <w:rPr>
                <w:rFonts w:ascii="宋体"/>
                <w:b/>
                <w:color w:val="auto"/>
                <w:lang w:val="en-GB"/>
              </w:rPr>
            </w:pPr>
          </w:p>
        </w:tc>
        <w:tc>
          <w:tcPr>
            <w:tcW w:w="1285" w:type="pct"/>
            <w:vMerge w:val="continue"/>
            <w:noWrap w:val="0"/>
            <w:vAlign w:val="center"/>
          </w:tcPr>
          <w:p w14:paraId="31F118FF">
            <w:pPr>
              <w:pStyle w:val="14"/>
              <w:widowControl w:val="0"/>
              <w:spacing w:line="360" w:lineRule="auto"/>
              <w:rPr>
                <w:rFonts w:ascii="宋体"/>
                <w:b/>
                <w:color w:val="auto"/>
              </w:rPr>
            </w:pPr>
          </w:p>
        </w:tc>
        <w:tc>
          <w:tcPr>
            <w:tcW w:w="1197" w:type="pct"/>
            <w:noWrap w:val="0"/>
            <w:vAlign w:val="center"/>
          </w:tcPr>
          <w:p w14:paraId="69BBFF9A">
            <w:pPr>
              <w:pStyle w:val="14"/>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4"/>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4"/>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4"/>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4"/>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4"/>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4"/>
              <w:widowControl w:val="0"/>
              <w:spacing w:line="360" w:lineRule="auto"/>
              <w:rPr>
                <w:rFonts w:ascii="宋体"/>
                <w:color w:val="auto"/>
              </w:rPr>
            </w:pPr>
          </w:p>
        </w:tc>
        <w:tc>
          <w:tcPr>
            <w:tcW w:w="972" w:type="pct"/>
            <w:noWrap w:val="0"/>
            <w:vAlign w:val="center"/>
          </w:tcPr>
          <w:p w14:paraId="7B0BC0CD">
            <w:pPr>
              <w:pStyle w:val="14"/>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4"/>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4"/>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4"/>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4"/>
              <w:widowControl w:val="0"/>
              <w:spacing w:line="360" w:lineRule="auto"/>
              <w:rPr>
                <w:rFonts w:ascii="宋体"/>
                <w:color w:val="auto"/>
              </w:rPr>
            </w:pPr>
          </w:p>
        </w:tc>
        <w:tc>
          <w:tcPr>
            <w:tcW w:w="972" w:type="pct"/>
            <w:noWrap w:val="0"/>
            <w:vAlign w:val="center"/>
          </w:tcPr>
          <w:p w14:paraId="11FCBE08">
            <w:pPr>
              <w:pStyle w:val="14"/>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4"/>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4"/>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4"/>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4"/>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4"/>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4"/>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4"/>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4"/>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4"/>
              <w:widowControl w:val="0"/>
              <w:spacing w:line="360" w:lineRule="auto"/>
              <w:rPr>
                <w:rFonts w:ascii="宋体"/>
                <w:color w:val="auto"/>
              </w:rPr>
            </w:pPr>
          </w:p>
        </w:tc>
        <w:tc>
          <w:tcPr>
            <w:tcW w:w="972" w:type="pct"/>
            <w:noWrap w:val="0"/>
            <w:vAlign w:val="center"/>
          </w:tcPr>
          <w:p w14:paraId="03608C82">
            <w:pPr>
              <w:pStyle w:val="14"/>
              <w:widowControl w:val="0"/>
              <w:spacing w:line="360" w:lineRule="auto"/>
              <w:rPr>
                <w:rFonts w:ascii="宋体"/>
                <w:color w:val="auto"/>
              </w:rPr>
            </w:pPr>
          </w:p>
        </w:tc>
      </w:tr>
    </w:tbl>
    <w:p w14:paraId="10147963">
      <w:pPr>
        <w:pStyle w:val="11"/>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4"/>
        <w:rPr>
          <w:rFonts w:hint="eastAsia"/>
          <w:lang w:val="en-US" w:eastAsia="zh-CN"/>
        </w:rPr>
      </w:pPr>
    </w:p>
    <w:p w14:paraId="60D5F574">
      <w:pPr>
        <w:pStyle w:val="4"/>
        <w:rPr>
          <w:rFonts w:hint="eastAsia"/>
          <w:lang w:val="en-US" w:eastAsia="zh-CN"/>
        </w:rPr>
      </w:pPr>
    </w:p>
    <w:p w14:paraId="5FDB11C5">
      <w:pPr>
        <w:pStyle w:val="4"/>
        <w:rPr>
          <w:rFonts w:hint="eastAsia"/>
          <w:lang w:val="en-US" w:eastAsia="zh-CN"/>
        </w:rPr>
      </w:pPr>
    </w:p>
    <w:p w14:paraId="54D2C95D">
      <w:pPr>
        <w:pStyle w:val="4"/>
        <w:rPr>
          <w:rFonts w:hint="eastAsia"/>
          <w:lang w:val="en-US" w:eastAsia="zh-CN"/>
        </w:rPr>
      </w:pPr>
    </w:p>
    <w:p w14:paraId="74F4A6B6">
      <w:pPr>
        <w:pStyle w:val="4"/>
        <w:rPr>
          <w:rFonts w:hint="eastAsia"/>
          <w:lang w:val="en-US" w:eastAsia="zh-CN"/>
        </w:rPr>
      </w:pPr>
    </w:p>
    <w:p w14:paraId="71CFC805">
      <w:pPr>
        <w:pStyle w:val="4"/>
        <w:rPr>
          <w:rFonts w:hint="eastAsia"/>
          <w:lang w:val="en-US" w:eastAsia="zh-CN"/>
        </w:rPr>
      </w:pPr>
    </w:p>
    <w:p w14:paraId="05A78FC0">
      <w:pPr>
        <w:pStyle w:val="4"/>
        <w:rPr>
          <w:rFonts w:hint="eastAsia"/>
          <w:lang w:val="en-US" w:eastAsia="zh-CN"/>
        </w:rPr>
      </w:pPr>
    </w:p>
    <w:p w14:paraId="6B600D32">
      <w:pPr>
        <w:pStyle w:val="4"/>
        <w:rPr>
          <w:rFonts w:hint="eastAsia"/>
          <w:lang w:val="en-US" w:eastAsia="zh-CN"/>
        </w:rPr>
      </w:pPr>
    </w:p>
    <w:p w14:paraId="30DF714D">
      <w:pPr>
        <w:pStyle w:val="4"/>
        <w:rPr>
          <w:rFonts w:hint="eastAsia"/>
          <w:lang w:val="en-US" w:eastAsia="zh-CN"/>
        </w:rPr>
      </w:pPr>
    </w:p>
    <w:p w14:paraId="591A17EF">
      <w:pPr>
        <w:pStyle w:val="4"/>
        <w:rPr>
          <w:rFonts w:hint="eastAsia"/>
          <w:lang w:val="en-US" w:eastAsia="zh-CN"/>
        </w:rPr>
      </w:pPr>
    </w:p>
    <w:p w14:paraId="33FE60AF">
      <w:pPr>
        <w:pStyle w:val="12"/>
        <w:widowControl w:val="0"/>
        <w:adjustRightInd w:val="0"/>
        <w:snapToGrid w:val="0"/>
        <w:spacing w:before="468" w:beforeLines="150" w:after="156" w:afterLines="50" w:line="360" w:lineRule="auto"/>
        <w:rPr>
          <w:color w:val="auto"/>
        </w:rPr>
      </w:pPr>
      <w:bookmarkStart w:id="44" w:name="_Toc102634414"/>
      <w:bookmarkStart w:id="45" w:name="_Toc102633914"/>
      <w:bookmarkStart w:id="46" w:name="_Toc102633988"/>
      <w:bookmarkStart w:id="47" w:name="_Toc9894"/>
      <w:bookmarkStart w:id="48" w:name="_Toc15033761"/>
      <w:bookmarkStart w:id="49" w:name="_Toc102634276"/>
      <w:r>
        <w:rPr>
          <w:color w:val="auto"/>
        </w:rPr>
        <w:t>第六章  安全对策措施及建议</w:t>
      </w:r>
      <w:bookmarkEnd w:id="44"/>
      <w:bookmarkEnd w:id="45"/>
      <w:bookmarkEnd w:id="46"/>
      <w:bookmarkEnd w:id="47"/>
      <w:bookmarkEnd w:id="48"/>
      <w:bookmarkEnd w:id="49"/>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0" w:name="_Toc225046264"/>
      <w:bookmarkStart w:id="51" w:name="_Toc339456079"/>
      <w:bookmarkStart w:id="52" w:name="_Toc102633989"/>
      <w:bookmarkStart w:id="53" w:name="_Toc102634415"/>
      <w:bookmarkStart w:id="54" w:name="_Toc15033762"/>
      <w:bookmarkStart w:id="55" w:name="_Toc102634277"/>
      <w:bookmarkStart w:id="56" w:name="_Toc242065302"/>
      <w:bookmarkStart w:id="57" w:name="_Toc4961"/>
      <w:bookmarkStart w:id="58" w:name="_Toc348877039"/>
      <w:bookmarkStart w:id="59" w:name="_Toc102633915"/>
      <w:r>
        <w:rPr>
          <w:rFonts w:ascii="Calibri" w:hAnsi="Calibri" w:eastAsia="楷体_GB2312"/>
          <w:b/>
          <w:color w:val="auto"/>
          <w:kern w:val="0"/>
          <w:sz w:val="32"/>
          <w:szCs w:val="20"/>
        </w:rPr>
        <w:t xml:space="preserve">第一节 </w:t>
      </w:r>
      <w:bookmarkEnd w:id="50"/>
      <w:bookmarkEnd w:id="51"/>
      <w:r>
        <w:rPr>
          <w:rFonts w:ascii="Calibri" w:hAnsi="Calibri" w:eastAsia="楷体_GB2312"/>
          <w:b/>
          <w:color w:val="auto"/>
          <w:kern w:val="0"/>
          <w:sz w:val="32"/>
          <w:szCs w:val="20"/>
        </w:rPr>
        <w:t>存在的问题及整改建议</w:t>
      </w:r>
      <w:bookmarkEnd w:id="52"/>
      <w:bookmarkEnd w:id="53"/>
      <w:bookmarkEnd w:id="54"/>
      <w:bookmarkEnd w:id="55"/>
      <w:bookmarkEnd w:id="56"/>
      <w:bookmarkEnd w:id="57"/>
      <w:bookmarkEnd w:id="58"/>
      <w:bookmarkEnd w:id="59"/>
    </w:p>
    <w:p w14:paraId="6ED67031">
      <w:pPr>
        <w:adjustRightInd w:val="0"/>
        <w:snapToGrid w:val="0"/>
        <w:spacing w:line="360" w:lineRule="auto"/>
        <w:ind w:firstLine="560" w:firstLineChars="200"/>
        <w:rPr>
          <w:rFonts w:ascii="宋体"/>
          <w:color w:val="auto"/>
          <w:kern w:val="0"/>
          <w:sz w:val="28"/>
          <w:szCs w:val="20"/>
        </w:rPr>
      </w:pPr>
      <w:bookmarkStart w:id="60" w:name="_Toc49590281"/>
      <w:bookmarkStart w:id="61"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0"/>
    <w:bookmarkEnd w:id="61"/>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6"/>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液位仪、测漏仪未设不间断电源；</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液位仪、测漏仪已增</w:t>
            </w:r>
            <w:bookmarkStart w:id="62" w:name="_GoBack"/>
            <w:bookmarkEnd w:id="62"/>
            <w:r>
              <w:rPr>
                <w:rFonts w:hint="eastAsia" w:ascii="宋体" w:hAnsi="宋体"/>
                <w:color w:val="auto"/>
                <w:kern w:val="0"/>
                <w:u w:color="000000"/>
                <w:lang w:val="en-US" w:eastAsia="zh-CN"/>
              </w:rPr>
              <w:t>设不间断电源。</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4"/>
        <w:rPr>
          <w:rFonts w:hint="eastAsia" w:ascii="宋体" w:eastAsia="宋体"/>
          <w:kern w:val="0"/>
          <w:sz w:val="28"/>
          <w:szCs w:val="20"/>
          <w:lang w:eastAsia="zh-CN"/>
        </w:rPr>
      </w:pPr>
    </w:p>
    <w:p w14:paraId="7196FAF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4"/>
        <w:ind w:left="0" w:leftChars="0" w:firstLine="0" w:firstLineChars="0"/>
        <w:rPr>
          <w:rFonts w:hint="eastAsia" w:ascii="宋体" w:eastAsia="宋体"/>
          <w:kern w:val="0"/>
          <w:sz w:val="28"/>
          <w:szCs w:val="20"/>
          <w:lang w:val="en-US" w:eastAsia="zh-CN"/>
        </w:rPr>
      </w:pPr>
    </w:p>
    <w:p w14:paraId="754E295C">
      <w:pPr>
        <w:pStyle w:val="4"/>
        <w:ind w:left="0" w:leftChars="0" w:firstLine="0" w:firstLineChars="0"/>
        <w:rPr>
          <w:rFonts w:hint="eastAsia" w:ascii="宋体" w:eastAsia="宋体"/>
          <w:kern w:val="0"/>
          <w:sz w:val="28"/>
          <w:szCs w:val="20"/>
          <w:lang w:val="en-US" w:eastAsia="zh-CN"/>
        </w:rPr>
      </w:pPr>
    </w:p>
    <w:p w14:paraId="33ECCD2C">
      <w:pPr>
        <w:pStyle w:val="4"/>
        <w:ind w:left="0" w:leftChars="0" w:firstLine="0" w:firstLineChars="0"/>
        <w:rPr>
          <w:rFonts w:hint="eastAsia" w:ascii="宋体" w:eastAsia="宋体"/>
          <w:kern w:val="0"/>
          <w:sz w:val="28"/>
          <w:szCs w:val="20"/>
          <w:lang w:val="en-US" w:eastAsia="zh-CN"/>
        </w:rPr>
      </w:pPr>
    </w:p>
    <w:p w14:paraId="6B68A546">
      <w:pPr>
        <w:pStyle w:val="4"/>
        <w:ind w:left="0" w:leftChars="0" w:firstLine="0" w:firstLineChars="0"/>
        <w:rPr>
          <w:rFonts w:hint="eastAsia" w:ascii="宋体" w:eastAsia="宋体"/>
          <w:kern w:val="0"/>
          <w:sz w:val="28"/>
          <w:szCs w:val="20"/>
          <w:lang w:val="en-US" w:eastAsia="zh-CN"/>
        </w:rPr>
      </w:pPr>
    </w:p>
    <w:p w14:paraId="4A09A148">
      <w:pPr>
        <w:pStyle w:val="4"/>
        <w:ind w:left="0" w:leftChars="0" w:firstLine="0" w:firstLineChars="0"/>
        <w:rPr>
          <w:rFonts w:hint="eastAsia" w:ascii="宋体" w:eastAsia="宋体"/>
          <w:kern w:val="0"/>
          <w:sz w:val="28"/>
          <w:szCs w:val="20"/>
          <w:lang w:val="en-US" w:eastAsia="zh-CN"/>
        </w:rPr>
      </w:pPr>
    </w:p>
    <w:p w14:paraId="7287E591">
      <w:pPr>
        <w:pStyle w:val="4"/>
        <w:ind w:left="0" w:leftChars="0" w:firstLine="0" w:firstLineChars="0"/>
        <w:rPr>
          <w:rFonts w:hint="eastAsia" w:ascii="宋体" w:eastAsia="宋体"/>
          <w:kern w:val="0"/>
          <w:sz w:val="28"/>
          <w:szCs w:val="20"/>
          <w:lang w:val="en-US" w:eastAsia="zh-CN"/>
        </w:rPr>
      </w:pPr>
    </w:p>
    <w:p w14:paraId="234AE995">
      <w:pPr>
        <w:pStyle w:val="4"/>
        <w:ind w:left="0" w:leftChars="0" w:firstLine="0" w:firstLineChars="0"/>
        <w:rPr>
          <w:rFonts w:hint="eastAsia" w:ascii="宋体" w:eastAsia="宋体"/>
          <w:kern w:val="0"/>
          <w:sz w:val="28"/>
          <w:szCs w:val="20"/>
          <w:lang w:val="en-US" w:eastAsia="zh-CN"/>
        </w:rPr>
      </w:pPr>
    </w:p>
    <w:p w14:paraId="1D2BC367">
      <w:pPr>
        <w:pStyle w:val="4"/>
        <w:ind w:left="0" w:leftChars="0" w:firstLine="0" w:firstLineChars="0"/>
        <w:rPr>
          <w:rFonts w:hint="eastAsia" w:ascii="宋体" w:eastAsia="宋体"/>
          <w:kern w:val="0"/>
          <w:sz w:val="28"/>
          <w:szCs w:val="20"/>
          <w:lang w:val="en-US" w:eastAsia="zh-CN"/>
        </w:rPr>
      </w:pPr>
    </w:p>
    <w:p w14:paraId="7FDE32C3">
      <w:pPr>
        <w:pStyle w:val="4"/>
        <w:ind w:left="0" w:leftChars="0" w:firstLine="0" w:firstLineChars="0"/>
        <w:rPr>
          <w:rFonts w:hint="eastAsia" w:ascii="宋体" w:eastAsia="宋体"/>
          <w:kern w:val="0"/>
          <w:sz w:val="28"/>
          <w:szCs w:val="20"/>
          <w:lang w:val="en-US" w:eastAsia="zh-CN"/>
        </w:rPr>
      </w:pPr>
    </w:p>
    <w:p w14:paraId="67D86ACD">
      <w:pPr>
        <w:pStyle w:val="4"/>
        <w:ind w:left="0" w:leftChars="0" w:firstLine="0" w:firstLineChars="0"/>
        <w:rPr>
          <w:rFonts w:hint="eastAsia" w:ascii="宋体" w:eastAsia="宋体"/>
          <w:kern w:val="0"/>
          <w:sz w:val="28"/>
          <w:szCs w:val="20"/>
          <w:lang w:val="en-US" w:eastAsia="zh-CN"/>
        </w:rPr>
      </w:pPr>
    </w:p>
    <w:p w14:paraId="627DF3ED">
      <w:pPr>
        <w:pStyle w:val="4"/>
        <w:ind w:left="0" w:leftChars="0" w:firstLine="0" w:firstLineChars="0"/>
        <w:rPr>
          <w:rFonts w:hint="eastAsia" w:ascii="宋体" w:eastAsia="宋体"/>
          <w:kern w:val="0"/>
          <w:sz w:val="28"/>
          <w:szCs w:val="20"/>
          <w:lang w:val="en-US" w:eastAsia="zh-CN"/>
        </w:rPr>
      </w:pPr>
    </w:p>
    <w:p w14:paraId="5163FA0C">
      <w:pPr>
        <w:pStyle w:val="4"/>
        <w:ind w:left="0" w:leftChars="0" w:firstLine="0" w:firstLineChars="0"/>
        <w:rPr>
          <w:rFonts w:hint="eastAsia" w:ascii="宋体" w:eastAsia="宋体"/>
          <w:kern w:val="0"/>
          <w:sz w:val="28"/>
          <w:szCs w:val="20"/>
          <w:lang w:val="en-US" w:eastAsia="zh-CN"/>
        </w:rPr>
      </w:pPr>
    </w:p>
    <w:p w14:paraId="4C4F6297">
      <w:pPr>
        <w:pStyle w:val="4"/>
        <w:ind w:left="0" w:leftChars="0" w:firstLine="0" w:firstLineChars="0"/>
        <w:rPr>
          <w:rFonts w:hint="eastAsia" w:ascii="宋体" w:eastAsia="宋体"/>
          <w:kern w:val="0"/>
          <w:sz w:val="28"/>
          <w:szCs w:val="20"/>
          <w:lang w:val="en-US" w:eastAsia="zh-CN"/>
        </w:rPr>
      </w:pPr>
    </w:p>
    <w:p w14:paraId="3AEB5644">
      <w:pPr>
        <w:pStyle w:val="4"/>
        <w:ind w:left="0" w:leftChars="0" w:firstLine="0" w:firstLineChars="0"/>
        <w:rPr>
          <w:rFonts w:hint="eastAsia" w:ascii="宋体" w:eastAsia="宋体"/>
          <w:kern w:val="0"/>
          <w:sz w:val="28"/>
          <w:szCs w:val="20"/>
          <w:lang w:val="en-US" w:eastAsia="zh-CN"/>
        </w:rPr>
      </w:pPr>
    </w:p>
    <w:p w14:paraId="4A651ABE">
      <w:pPr>
        <w:pStyle w:val="4"/>
        <w:ind w:left="0" w:leftChars="0" w:firstLine="0" w:firstLineChars="0"/>
        <w:rPr>
          <w:rFonts w:hint="eastAsia" w:ascii="宋体" w:eastAsia="宋体"/>
          <w:kern w:val="0"/>
          <w:sz w:val="28"/>
          <w:szCs w:val="20"/>
          <w:lang w:val="en-US" w:eastAsia="zh-CN"/>
        </w:rPr>
      </w:pPr>
    </w:p>
    <w:p w14:paraId="07141D98">
      <w:pPr>
        <w:pStyle w:val="4"/>
        <w:ind w:left="0" w:leftChars="0" w:firstLine="0" w:firstLineChars="0"/>
        <w:rPr>
          <w:rFonts w:hint="eastAsia" w:ascii="宋体" w:eastAsia="宋体"/>
          <w:kern w:val="0"/>
          <w:sz w:val="28"/>
          <w:szCs w:val="20"/>
          <w:lang w:val="en-US" w:eastAsia="zh-CN"/>
        </w:rPr>
      </w:pPr>
    </w:p>
    <w:p w14:paraId="5BB886FE">
      <w:pPr>
        <w:pStyle w:val="4"/>
        <w:ind w:left="0" w:leftChars="0" w:firstLine="0" w:firstLineChars="0"/>
        <w:rPr>
          <w:rFonts w:hint="eastAsia" w:ascii="宋体" w:eastAsia="宋体"/>
          <w:kern w:val="0"/>
          <w:sz w:val="28"/>
          <w:szCs w:val="20"/>
          <w:lang w:val="en-US" w:eastAsia="zh-CN"/>
        </w:rPr>
      </w:pPr>
    </w:p>
    <w:p w14:paraId="0047A009">
      <w:pPr>
        <w:pStyle w:val="4"/>
        <w:ind w:left="0" w:leftChars="0" w:firstLine="0" w:firstLineChars="0"/>
        <w:rPr>
          <w:rFonts w:hint="eastAsia" w:ascii="宋体" w:eastAsia="宋体"/>
          <w:kern w:val="0"/>
          <w:sz w:val="28"/>
          <w:szCs w:val="20"/>
          <w:lang w:val="en-US" w:eastAsia="zh-CN"/>
        </w:rPr>
      </w:pPr>
    </w:p>
    <w:p w14:paraId="65E2BC00">
      <w:pPr>
        <w:pStyle w:val="4"/>
        <w:ind w:left="0" w:leftChars="0" w:firstLine="0" w:firstLineChars="0"/>
        <w:rPr>
          <w:rFonts w:hint="eastAsia" w:ascii="宋体" w:eastAsia="宋体"/>
          <w:kern w:val="0"/>
          <w:sz w:val="28"/>
          <w:szCs w:val="20"/>
          <w:lang w:val="en-US" w:eastAsia="zh-CN"/>
        </w:rPr>
      </w:pPr>
    </w:p>
    <w:p w14:paraId="6558F50A">
      <w:pPr>
        <w:pStyle w:val="4"/>
        <w:ind w:left="0" w:leftChars="0" w:firstLine="0" w:firstLineChars="0"/>
        <w:rPr>
          <w:rFonts w:hint="eastAsia" w:ascii="宋体" w:eastAsia="宋体"/>
          <w:kern w:val="0"/>
          <w:sz w:val="28"/>
          <w:szCs w:val="20"/>
          <w:lang w:val="en-US" w:eastAsia="zh-CN"/>
        </w:rPr>
      </w:pPr>
    </w:p>
    <w:p w14:paraId="14359921">
      <w:pPr>
        <w:pStyle w:val="4"/>
        <w:ind w:left="0" w:leftChars="0" w:firstLine="0" w:firstLineChars="0"/>
        <w:rPr>
          <w:rFonts w:hint="eastAsia" w:ascii="宋体" w:eastAsia="宋体"/>
          <w:kern w:val="0"/>
          <w:sz w:val="28"/>
          <w:szCs w:val="20"/>
          <w:lang w:val="en-US" w:eastAsia="zh-CN"/>
        </w:rPr>
      </w:pPr>
    </w:p>
    <w:p w14:paraId="3AF08DFF">
      <w:pPr>
        <w:pStyle w:val="4"/>
        <w:ind w:left="0" w:leftChars="0" w:firstLine="0" w:firstLineChars="0"/>
        <w:rPr>
          <w:rFonts w:hint="eastAsia" w:ascii="宋体" w:eastAsia="宋体"/>
          <w:kern w:val="0"/>
          <w:sz w:val="28"/>
          <w:szCs w:val="20"/>
          <w:lang w:val="en-US" w:eastAsia="zh-CN"/>
        </w:rPr>
      </w:pPr>
    </w:p>
    <w:p w14:paraId="1F9E243F">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r>
        <w:rPr>
          <w:rFonts w:hint="eastAsia" w:ascii="宋体" w:eastAsia="宋体"/>
          <w:kern w:val="0"/>
          <w:sz w:val="28"/>
          <w:szCs w:val="20"/>
          <w:lang w:val="en-US" w:eastAsia="zh-CN"/>
        </w:rPr>
        <w:drawing>
          <wp:inline distT="0" distB="0" distL="114300" distR="114300">
            <wp:extent cx="9051290" cy="5700395"/>
            <wp:effectExtent l="0" t="0" r="14605" b="16510"/>
            <wp:docPr id="11" name="图片 11" descr="c80b9ee2b1ff0853427708251a6a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80b9ee2b1ff0853427708251a6a935"/>
                    <pic:cNvPicPr>
                      <a:picLocks noChangeAspect="1"/>
                    </pic:cNvPicPr>
                  </pic:nvPicPr>
                  <pic:blipFill>
                    <a:blip r:embed="rId9"/>
                    <a:stretch>
                      <a:fillRect/>
                    </a:stretch>
                  </pic:blipFill>
                  <pic:spPr>
                    <a:xfrm rot="16200000">
                      <a:off x="0" y="0"/>
                      <a:ext cx="9051290" cy="5700395"/>
                    </a:xfrm>
                    <a:prstGeom prst="rect">
                      <a:avLst/>
                    </a:prstGeom>
                  </pic:spPr>
                </pic:pic>
              </a:graphicData>
            </a:graphic>
          </wp:inline>
        </w:drawing>
      </w:r>
    </w:p>
    <w:p w14:paraId="46F2D9D5">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803265" cy="9058910"/>
            <wp:effectExtent l="0" t="0" r="6985" b="8890"/>
            <wp:docPr id="12" name="图片 12" descr="7accb310f7b6453fbb75737ae810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accb310f7b6453fbb75737ae810abc"/>
                    <pic:cNvPicPr>
                      <a:picLocks noChangeAspect="1"/>
                    </pic:cNvPicPr>
                  </pic:nvPicPr>
                  <pic:blipFill>
                    <a:blip r:embed="rId10"/>
                    <a:stretch>
                      <a:fillRect/>
                    </a:stretch>
                  </pic:blipFill>
                  <pic:spPr>
                    <a:xfrm>
                      <a:off x="0" y="0"/>
                      <a:ext cx="5803265" cy="9058910"/>
                    </a:xfrm>
                    <a:prstGeom prst="rect">
                      <a:avLst/>
                    </a:prstGeom>
                  </pic:spPr>
                </pic:pic>
              </a:graphicData>
            </a:graphic>
          </wp:inline>
        </w:drawing>
      </w:r>
    </w:p>
    <w:p w14:paraId="725DBA6C">
      <w:pPr>
        <w:pStyle w:val="4"/>
        <w:ind w:left="0" w:leftChars="0" w:firstLine="0" w:firstLineChars="0"/>
        <w:rPr>
          <w:rFonts w:hint="eastAsia" w:ascii="宋体" w:eastAsia="宋体"/>
          <w:kern w:val="0"/>
          <w:sz w:val="28"/>
          <w:szCs w:val="20"/>
          <w:lang w:val="en-US" w:eastAsia="zh-CN"/>
        </w:rPr>
      </w:pPr>
      <w:r>
        <w:rPr>
          <w:rFonts w:hint="eastAsia" w:eastAsia="宋体"/>
          <w:lang w:eastAsia="zh-CN"/>
        </w:rPr>
        <w:drawing>
          <wp:inline distT="0" distB="0" distL="114300" distR="114300">
            <wp:extent cx="5930265" cy="4447540"/>
            <wp:effectExtent l="0" t="0" r="13335" b="10160"/>
            <wp:docPr id="13" name="图片 13" descr="IMG_20250410_15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410_154317"/>
                    <pic:cNvPicPr>
                      <a:picLocks noChangeAspect="1"/>
                    </pic:cNvPicPr>
                  </pic:nvPicPr>
                  <pic:blipFill>
                    <a:blip r:embed="rId11"/>
                    <a:stretch>
                      <a:fillRect/>
                    </a:stretch>
                  </pic:blipFill>
                  <pic:spPr>
                    <a:xfrm>
                      <a:off x="0" y="0"/>
                      <a:ext cx="5930265" cy="4447540"/>
                    </a:xfrm>
                    <a:prstGeom prst="rect">
                      <a:avLst/>
                    </a:prstGeom>
                  </pic:spPr>
                </pic:pic>
              </a:graphicData>
            </a:graphic>
          </wp:inline>
        </w:drawing>
      </w:r>
      <w:r>
        <w:rPr>
          <w:rFonts w:hint="eastAsia" w:ascii="宋体" w:eastAsia="宋体"/>
          <w:kern w:val="0"/>
          <w:sz w:val="28"/>
          <w:szCs w:val="20"/>
          <w:lang w:val="en-US" w:eastAsia="zh-CN"/>
        </w:rPr>
        <w:drawing>
          <wp:inline distT="0" distB="0" distL="114300" distR="114300">
            <wp:extent cx="5930265" cy="4447540"/>
            <wp:effectExtent l="0" t="0" r="13335" b="10160"/>
            <wp:docPr id="14" name="图片 14" descr="IMG_20250410_15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410_154328"/>
                    <pic:cNvPicPr>
                      <a:picLocks noChangeAspect="1"/>
                    </pic:cNvPicPr>
                  </pic:nvPicPr>
                  <pic:blipFill>
                    <a:blip r:embed="rId12"/>
                    <a:stretch>
                      <a:fillRect/>
                    </a:stretch>
                  </pic:blipFill>
                  <pic:spPr>
                    <a:xfrm>
                      <a:off x="0" y="0"/>
                      <a:ext cx="5930265" cy="4447540"/>
                    </a:xfrm>
                    <a:prstGeom prst="rect">
                      <a:avLst/>
                    </a:prstGeom>
                  </pic:spPr>
                </pic:pic>
              </a:graphicData>
            </a:graphic>
          </wp:inline>
        </w:drawing>
      </w:r>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920A93"/>
    <w:rsid w:val="37BA326F"/>
    <w:rsid w:val="41D911B0"/>
    <w:rsid w:val="439D752C"/>
    <w:rsid w:val="557B47A0"/>
    <w:rsid w:val="579B223A"/>
    <w:rsid w:val="596D538E"/>
    <w:rsid w:val="5CFB130E"/>
    <w:rsid w:val="5F445E73"/>
    <w:rsid w:val="7749206E"/>
    <w:rsid w:val="7E6941FD"/>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Normal Indent"/>
    <w:basedOn w:val="1"/>
    <w:qFormat/>
    <w:uiPriority w:val="0"/>
    <w:pPr>
      <w:ind w:firstLine="420" w:firstLineChars="200"/>
    </w:pPr>
    <w:rPr>
      <w:sz w:val="28"/>
      <w:szCs w:val="20"/>
      <w:u w:color="000000"/>
    </w:rPr>
  </w:style>
  <w:style w:type="paragraph" w:styleId="5">
    <w:name w:val="annotation text"/>
    <w:basedOn w:val="1"/>
    <w:qFormat/>
    <w:uiPriority w:val="99"/>
    <w:pPr>
      <w:ind w:firstLine="200" w:firstLineChars="200"/>
      <w:jc w:val="left"/>
    </w:pPr>
    <w:rPr>
      <w:sz w:val="28"/>
      <w:szCs w:val="20"/>
      <w:u w:color="000000"/>
    </w:rPr>
  </w:style>
  <w:style w:type="character" w:styleId="8">
    <w:name w:val="annotation reference"/>
    <w:qFormat/>
    <w:uiPriority w:val="99"/>
    <w:rPr>
      <w:sz w:val="21"/>
      <w:szCs w:val="21"/>
    </w:r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2">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3">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4">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5">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6">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3383</Words>
  <Characters>3690</Characters>
  <Lines>0</Lines>
  <Paragraphs>0</Paragraphs>
  <TotalTime>1</TotalTime>
  <ScaleCrop>false</ScaleCrop>
  <LinksUpToDate>false</LinksUpToDate>
  <CharactersWithSpaces>6966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2025-04-27T06:53:19Z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