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AB3A99">
      <w:pPr>
        <w:jc w:val="center"/>
        <w:rPr>
          <w:rFonts w:hint="eastAsia" w:ascii="黑体" w:hAnsi="黑体" w:eastAsia="黑体" w:cs="黑体"/>
          <w:sz w:val="28"/>
          <w:szCs w:val="28"/>
        </w:rPr>
      </w:pPr>
      <w:r>
        <w:rPr>
          <w:rFonts w:hint="eastAsia" w:ascii="黑体" w:hAnsi="黑体" w:eastAsia="黑体" w:cs="黑体"/>
          <w:sz w:val="28"/>
          <w:szCs w:val="28"/>
        </w:rPr>
        <w:t>安全评价项目信息表</w:t>
      </w:r>
    </w:p>
    <w:p w14:paraId="7A57BC9C">
      <w:pPr>
        <w:rPr>
          <w:rFonts w:hint="eastAsia"/>
          <w:sz w:val="21"/>
          <w:szCs w:val="21"/>
          <w:lang w:val="en-US" w:eastAsia="zh-CN"/>
        </w:rPr>
      </w:pPr>
      <w:r>
        <w:rPr>
          <w:rFonts w:hint="eastAsia"/>
          <w:sz w:val="21"/>
          <w:szCs w:val="21"/>
          <w:lang w:val="en-US" w:eastAsia="zh-CN"/>
        </w:rPr>
        <w:t>项目编号：</w:t>
      </w:r>
    </w:p>
    <w:tbl>
      <w:tblPr>
        <w:tblStyle w:val="7"/>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68" w:type="dxa"/>
          <w:left w:w="108" w:type="dxa"/>
          <w:bottom w:w="68" w:type="dxa"/>
          <w:right w:w="108" w:type="dxa"/>
        </w:tblCellMar>
      </w:tblPr>
      <w:tblGrid>
        <w:gridCol w:w="1832"/>
        <w:gridCol w:w="2188"/>
        <w:gridCol w:w="2350"/>
        <w:gridCol w:w="2918"/>
      </w:tblGrid>
      <w:tr w14:paraId="4C7CA5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03341165">
            <w:pPr>
              <w:autoSpaceDE w:val="0"/>
              <w:autoSpaceDN w:val="0"/>
              <w:adjustRightInd w:val="0"/>
              <w:snapToGrid w:val="0"/>
              <w:spacing w:line="240" w:lineRule="auto"/>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项目名称</w:t>
            </w:r>
          </w:p>
        </w:tc>
        <w:tc>
          <w:tcPr>
            <w:tcW w:w="7456" w:type="dxa"/>
            <w:gridSpan w:val="3"/>
            <w:tcBorders>
              <w:tl2br w:val="nil"/>
              <w:tr2bl w:val="nil"/>
            </w:tcBorders>
            <w:shd w:val="clear" w:color="auto" w:fill="auto"/>
            <w:vAlign w:val="center"/>
          </w:tcPr>
          <w:p w14:paraId="7035C3AC">
            <w:pPr>
              <w:autoSpaceDE w:val="0"/>
              <w:autoSpaceDN w:val="0"/>
              <w:adjustRightInd w:val="0"/>
              <w:snapToGrid w:val="0"/>
              <w:spacing w:line="240" w:lineRule="auto"/>
              <w:ind w:firstLine="0" w:firstLineChars="0"/>
              <w:jc w:val="center"/>
              <w:rPr>
                <w:rFonts w:hint="default"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eastAsia="zh-CN" w:bidi="ar-SA"/>
              </w:rPr>
              <w:t>新泰市杞星石化加油站</w:t>
            </w:r>
          </w:p>
        </w:tc>
      </w:tr>
      <w:tr w14:paraId="73DE5E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451" w:hRule="atLeast"/>
          <w:jc w:val="center"/>
        </w:trPr>
        <w:tc>
          <w:tcPr>
            <w:tcW w:w="1832" w:type="dxa"/>
            <w:tcBorders>
              <w:tl2br w:val="nil"/>
              <w:tr2bl w:val="nil"/>
            </w:tcBorders>
            <w:shd w:val="clear" w:color="auto" w:fill="auto"/>
            <w:vAlign w:val="center"/>
          </w:tcPr>
          <w:p w14:paraId="3F8DCA90">
            <w:pPr>
              <w:autoSpaceDE w:val="0"/>
              <w:autoSpaceDN w:val="0"/>
              <w:adjustRightInd w:val="0"/>
              <w:snapToGrid w:val="0"/>
              <w:spacing w:line="240" w:lineRule="auto"/>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项目简介</w:t>
            </w:r>
          </w:p>
        </w:tc>
        <w:tc>
          <w:tcPr>
            <w:tcW w:w="7456" w:type="dxa"/>
            <w:gridSpan w:val="3"/>
            <w:tcBorders>
              <w:tl2br w:val="nil"/>
              <w:tr2bl w:val="nil"/>
            </w:tcBorders>
            <w:shd w:val="clear" w:color="auto" w:fill="auto"/>
            <w:noWrap/>
            <w:vAlign w:val="center"/>
          </w:tcPr>
          <w:p w14:paraId="2555A5AC">
            <w:pPr>
              <w:adjustRightInd w:val="0"/>
              <w:snapToGrid w:val="0"/>
              <w:spacing w:line="240" w:lineRule="auto"/>
              <w:rPr>
                <w:rFonts w:hint="eastAsia" w:ascii="宋体" w:hAnsi="宋体"/>
                <w:sz w:val="20"/>
                <w:szCs w:val="24"/>
                <w:lang w:val="en-US" w:eastAsia="zh-CN"/>
              </w:rPr>
            </w:pPr>
            <w:r>
              <w:rPr>
                <w:rFonts w:hint="eastAsia" w:ascii="宋体" w:hAnsi="宋体"/>
                <w:sz w:val="20"/>
                <w:szCs w:val="24"/>
                <w:lang w:val="en-US" w:eastAsia="zh-CN"/>
              </w:rPr>
              <w:t>新泰市杞星石化加油站（原新泰市强新加油站）位于山东省泰安市新泰市西张庄镇马岭庄村北邻济临路北，该站西侧为修车间、民房，东侧为莲花山路(097乡道)，北侧为废弃房屋，南临济临路（S241）。2024年02月01日，新泰市强新加油站法定代表人由安杏变更为王贝贝；现由于公司发展规划调整，于2024年12月20日取得了由新泰市市场监督管理局出具的《企业名称保留告知书》，“新泰市强新加油站”名称变更登记为“新泰市杞星石化加油站”，此次名称变更加油站对罩棚、站房进行重新装饰，站内西北侧闲置棚拆除，加油区新增2个可燃气体探测器，加油站其余总平面布置、法定代表人、加油站位置未发生变化，该站经营许可范围为汽油、柴油，现其主要储存经营汽油、柴油（0#与-10#换季销售）</w:t>
            </w:r>
          </w:p>
          <w:p w14:paraId="655F0F9E">
            <w:pPr>
              <w:adjustRightInd w:val="0"/>
              <w:snapToGrid w:val="0"/>
              <w:spacing w:line="240" w:lineRule="auto"/>
              <w:rPr>
                <w:rFonts w:hint="eastAsia" w:ascii="宋体" w:hAnsi="宋体" w:eastAsia="宋体" w:cs="宋体"/>
                <w:b w:val="0"/>
                <w:bCs w:val="0"/>
                <w:color w:val="auto"/>
                <w:kern w:val="0"/>
                <w:sz w:val="21"/>
                <w:szCs w:val="21"/>
                <w:highlight w:val="none"/>
              </w:rPr>
            </w:pPr>
            <w:r>
              <w:rPr>
                <w:rFonts w:hint="eastAsia" w:ascii="宋体" w:hAnsi="宋体"/>
                <w:sz w:val="20"/>
                <w:szCs w:val="24"/>
                <w:lang w:val="en-US" w:eastAsia="zh-CN"/>
              </w:rPr>
              <w:t>该加油站主要建有站房、油罐区、加油区、洗车区等。站房在站区中部，加油区在站房南侧，现有4台双枪加油机：1台92#双枪加油机（停用1枪）、1台92#/95#双枪加油机、1台柴油双枪加油机、闲置1台，均为自吸式；油罐区布置在站房东侧，自北向南分别为：2台30m³柴油罐、1台30m³95#汽油罐、1台30m³92#汽油罐，汽油、柴油卸油口均位于罐区南侧，罐区内东侧共有通气管3根（含油气回收装置通气管）；按《汽车加油加气加氢站技术标准》GB50156-2021标准规定：V=60+60/2=90m3，该站属三级加油站；该站汽油设有卸油油气回收系统、加油油气回收系统及油气回收装置（三次油气回收系统）；站房北侧设有1处洗车间及洗车棚。</w:t>
            </w:r>
          </w:p>
        </w:tc>
      </w:tr>
      <w:tr w14:paraId="6C0547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0CB40D8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评价人员</w:t>
            </w:r>
          </w:p>
        </w:tc>
        <w:tc>
          <w:tcPr>
            <w:tcW w:w="4538" w:type="dxa"/>
            <w:gridSpan w:val="2"/>
            <w:tcBorders>
              <w:tl2br w:val="nil"/>
              <w:tr2bl w:val="nil"/>
            </w:tcBorders>
            <w:shd w:val="clear" w:color="auto" w:fill="auto"/>
            <w:noWrap/>
            <w:vAlign w:val="center"/>
          </w:tcPr>
          <w:p w14:paraId="44B4B812">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姓  名</w:t>
            </w:r>
          </w:p>
        </w:tc>
        <w:tc>
          <w:tcPr>
            <w:tcW w:w="2918" w:type="dxa"/>
            <w:tcBorders>
              <w:tl2br w:val="nil"/>
              <w:tr2bl w:val="nil"/>
            </w:tcBorders>
            <w:shd w:val="clear" w:color="auto" w:fill="auto"/>
            <w:noWrap/>
            <w:vAlign w:val="center"/>
          </w:tcPr>
          <w:p w14:paraId="1FCBB865">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备注</w:t>
            </w:r>
          </w:p>
        </w:tc>
      </w:tr>
      <w:tr w14:paraId="6BF927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0E120E7A">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项目负责人</w:t>
            </w:r>
          </w:p>
        </w:tc>
        <w:tc>
          <w:tcPr>
            <w:tcW w:w="4538" w:type="dxa"/>
            <w:gridSpan w:val="2"/>
            <w:tcBorders>
              <w:tl2br w:val="nil"/>
              <w:tr2bl w:val="nil"/>
            </w:tcBorders>
            <w:shd w:val="clear" w:color="auto" w:fill="auto"/>
            <w:noWrap/>
            <w:vAlign w:val="center"/>
          </w:tcPr>
          <w:p w14:paraId="73E7DF0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辛  磊</w:t>
            </w:r>
          </w:p>
        </w:tc>
        <w:tc>
          <w:tcPr>
            <w:tcW w:w="2918" w:type="dxa"/>
            <w:tcBorders>
              <w:tl2br w:val="nil"/>
              <w:tr2bl w:val="nil"/>
            </w:tcBorders>
            <w:shd w:val="clear" w:color="auto" w:fill="auto"/>
            <w:noWrap/>
            <w:vAlign w:val="center"/>
          </w:tcPr>
          <w:p w14:paraId="23E16B3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7FD0E9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6086F464">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项目组成员</w:t>
            </w:r>
          </w:p>
        </w:tc>
        <w:tc>
          <w:tcPr>
            <w:tcW w:w="4538" w:type="dxa"/>
            <w:gridSpan w:val="2"/>
            <w:tcBorders>
              <w:tl2br w:val="nil"/>
              <w:tr2bl w:val="nil"/>
            </w:tcBorders>
            <w:shd w:val="clear" w:color="auto" w:fill="auto"/>
            <w:noWrap/>
            <w:vAlign w:val="center"/>
          </w:tcPr>
          <w:p w14:paraId="706C29C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刘卫国</w:t>
            </w:r>
          </w:p>
        </w:tc>
        <w:tc>
          <w:tcPr>
            <w:tcW w:w="2918" w:type="dxa"/>
            <w:tcBorders>
              <w:tl2br w:val="nil"/>
              <w:tr2bl w:val="nil"/>
            </w:tcBorders>
            <w:shd w:val="clear" w:color="auto" w:fill="auto"/>
            <w:noWrap/>
            <w:vAlign w:val="center"/>
          </w:tcPr>
          <w:p w14:paraId="237809B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3A362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58CF63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471CC88C">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马琳琳</w:t>
            </w:r>
          </w:p>
        </w:tc>
        <w:tc>
          <w:tcPr>
            <w:tcW w:w="2918" w:type="dxa"/>
            <w:tcBorders>
              <w:tl2br w:val="nil"/>
              <w:tr2bl w:val="nil"/>
            </w:tcBorders>
            <w:shd w:val="clear" w:color="auto" w:fill="auto"/>
            <w:noWrap/>
            <w:vAlign w:val="center"/>
          </w:tcPr>
          <w:p w14:paraId="7BF3D163">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342BC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0D8F6F5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28214A3E">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刘振忠</w:t>
            </w:r>
          </w:p>
        </w:tc>
        <w:tc>
          <w:tcPr>
            <w:tcW w:w="2918" w:type="dxa"/>
            <w:tcBorders>
              <w:tl2br w:val="nil"/>
              <w:tr2bl w:val="nil"/>
            </w:tcBorders>
            <w:shd w:val="clear" w:color="auto" w:fill="auto"/>
            <w:noWrap/>
            <w:vAlign w:val="center"/>
          </w:tcPr>
          <w:p w14:paraId="4454A16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26871A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1F4EDAEE">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66233AE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王  静</w:t>
            </w:r>
          </w:p>
        </w:tc>
        <w:tc>
          <w:tcPr>
            <w:tcW w:w="2918" w:type="dxa"/>
            <w:tcBorders>
              <w:tl2br w:val="nil"/>
              <w:tr2bl w:val="nil"/>
            </w:tcBorders>
            <w:shd w:val="clear" w:color="auto" w:fill="auto"/>
            <w:noWrap/>
            <w:vAlign w:val="center"/>
          </w:tcPr>
          <w:p w14:paraId="417B7BE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53493A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75021019">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报告编制人</w:t>
            </w:r>
          </w:p>
        </w:tc>
        <w:tc>
          <w:tcPr>
            <w:tcW w:w="4538" w:type="dxa"/>
            <w:gridSpan w:val="2"/>
            <w:tcBorders>
              <w:tl2br w:val="nil"/>
              <w:tr2bl w:val="nil"/>
            </w:tcBorders>
            <w:shd w:val="clear" w:color="auto" w:fill="auto"/>
            <w:noWrap/>
            <w:vAlign w:val="center"/>
          </w:tcPr>
          <w:p w14:paraId="6668269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辛  磊</w:t>
            </w:r>
          </w:p>
        </w:tc>
        <w:tc>
          <w:tcPr>
            <w:tcW w:w="2918" w:type="dxa"/>
            <w:tcBorders>
              <w:tl2br w:val="nil"/>
              <w:tr2bl w:val="nil"/>
            </w:tcBorders>
            <w:shd w:val="clear" w:color="auto" w:fill="auto"/>
            <w:noWrap/>
            <w:vAlign w:val="center"/>
          </w:tcPr>
          <w:p w14:paraId="4DA7082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247C22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3D8316E">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报告审核人</w:t>
            </w:r>
          </w:p>
        </w:tc>
        <w:tc>
          <w:tcPr>
            <w:tcW w:w="4538" w:type="dxa"/>
            <w:gridSpan w:val="2"/>
            <w:tcBorders>
              <w:tl2br w:val="nil"/>
              <w:tr2bl w:val="nil"/>
            </w:tcBorders>
            <w:shd w:val="clear" w:color="auto" w:fill="auto"/>
            <w:noWrap/>
            <w:vAlign w:val="center"/>
          </w:tcPr>
          <w:p w14:paraId="27AD4436">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刘振忠</w:t>
            </w:r>
          </w:p>
        </w:tc>
        <w:tc>
          <w:tcPr>
            <w:tcW w:w="2918" w:type="dxa"/>
            <w:tcBorders>
              <w:tl2br w:val="nil"/>
              <w:tr2bl w:val="nil"/>
            </w:tcBorders>
            <w:shd w:val="clear" w:color="auto" w:fill="auto"/>
            <w:noWrap/>
            <w:vAlign w:val="center"/>
          </w:tcPr>
          <w:p w14:paraId="7FAEEC1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2B96E8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5A740C7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过程控制负责人</w:t>
            </w:r>
          </w:p>
        </w:tc>
        <w:tc>
          <w:tcPr>
            <w:tcW w:w="4538" w:type="dxa"/>
            <w:gridSpan w:val="2"/>
            <w:tcBorders>
              <w:tl2br w:val="nil"/>
              <w:tr2bl w:val="nil"/>
            </w:tcBorders>
            <w:shd w:val="clear" w:color="auto" w:fill="auto"/>
            <w:noWrap/>
            <w:vAlign w:val="center"/>
          </w:tcPr>
          <w:p w14:paraId="1B9378C6">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刘云红</w:t>
            </w:r>
          </w:p>
        </w:tc>
        <w:tc>
          <w:tcPr>
            <w:tcW w:w="2918" w:type="dxa"/>
            <w:tcBorders>
              <w:tl2br w:val="nil"/>
              <w:tr2bl w:val="nil"/>
            </w:tcBorders>
            <w:shd w:val="clear" w:color="auto" w:fill="auto"/>
            <w:noWrap/>
            <w:vAlign w:val="center"/>
          </w:tcPr>
          <w:p w14:paraId="475BE52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783A4C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2E3A638">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技术负责人</w:t>
            </w:r>
          </w:p>
        </w:tc>
        <w:tc>
          <w:tcPr>
            <w:tcW w:w="4538" w:type="dxa"/>
            <w:gridSpan w:val="2"/>
            <w:tcBorders>
              <w:tl2br w:val="nil"/>
              <w:tr2bl w:val="nil"/>
            </w:tcBorders>
            <w:shd w:val="clear" w:color="auto" w:fill="auto"/>
            <w:noWrap/>
            <w:vAlign w:val="center"/>
          </w:tcPr>
          <w:p w14:paraId="5F4D32A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孙  虎</w:t>
            </w:r>
          </w:p>
        </w:tc>
        <w:tc>
          <w:tcPr>
            <w:tcW w:w="2918" w:type="dxa"/>
            <w:tcBorders>
              <w:tl2br w:val="nil"/>
              <w:tr2bl w:val="nil"/>
            </w:tcBorders>
            <w:shd w:val="clear" w:color="auto" w:fill="auto"/>
            <w:noWrap/>
            <w:vAlign w:val="center"/>
          </w:tcPr>
          <w:p w14:paraId="0CF7197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763D4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27BF893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到现场开展安全</w:t>
            </w:r>
          </w:p>
          <w:p w14:paraId="5FE832B3">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评价工作情况</w:t>
            </w:r>
          </w:p>
        </w:tc>
        <w:tc>
          <w:tcPr>
            <w:tcW w:w="2188" w:type="dxa"/>
            <w:tcBorders>
              <w:tl2br w:val="nil"/>
              <w:tr2bl w:val="nil"/>
            </w:tcBorders>
            <w:shd w:val="clear" w:color="auto" w:fill="auto"/>
            <w:noWrap/>
            <w:vAlign w:val="center"/>
          </w:tcPr>
          <w:p w14:paraId="77464E9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时  间</w:t>
            </w:r>
          </w:p>
        </w:tc>
        <w:tc>
          <w:tcPr>
            <w:tcW w:w="2350" w:type="dxa"/>
            <w:tcBorders>
              <w:tl2br w:val="nil"/>
              <w:tr2bl w:val="nil"/>
            </w:tcBorders>
            <w:shd w:val="clear" w:color="auto" w:fill="auto"/>
            <w:noWrap/>
            <w:vAlign w:val="center"/>
          </w:tcPr>
          <w:p w14:paraId="5240011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到现场主要人员</w:t>
            </w:r>
          </w:p>
        </w:tc>
        <w:tc>
          <w:tcPr>
            <w:tcW w:w="2918" w:type="dxa"/>
            <w:tcBorders>
              <w:tl2br w:val="nil"/>
              <w:tr2bl w:val="nil"/>
            </w:tcBorders>
            <w:shd w:val="clear" w:color="auto" w:fill="auto"/>
            <w:noWrap/>
            <w:vAlign w:val="center"/>
          </w:tcPr>
          <w:p w14:paraId="767DC8D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主要任务</w:t>
            </w:r>
          </w:p>
        </w:tc>
      </w:tr>
      <w:tr w14:paraId="48E9FA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341564D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37CA163A">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2024.12.23</w:t>
            </w:r>
          </w:p>
        </w:tc>
        <w:tc>
          <w:tcPr>
            <w:tcW w:w="2350" w:type="dxa"/>
            <w:tcBorders>
              <w:tl2br w:val="nil"/>
              <w:tr2bl w:val="nil"/>
            </w:tcBorders>
            <w:shd w:val="clear" w:color="auto" w:fill="auto"/>
            <w:noWrap/>
            <w:vAlign w:val="center"/>
          </w:tcPr>
          <w:p w14:paraId="5F951CA0">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辛  磊 马琳琳</w:t>
            </w:r>
          </w:p>
        </w:tc>
        <w:tc>
          <w:tcPr>
            <w:tcW w:w="2918" w:type="dxa"/>
            <w:tcBorders>
              <w:tl2br w:val="nil"/>
              <w:tr2bl w:val="nil"/>
            </w:tcBorders>
            <w:shd w:val="clear" w:color="auto" w:fill="auto"/>
            <w:noWrap/>
            <w:vAlign w:val="center"/>
          </w:tcPr>
          <w:p w14:paraId="1A0D7279">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初访</w:t>
            </w:r>
          </w:p>
        </w:tc>
      </w:tr>
      <w:tr w14:paraId="485A9E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29F8E4F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3B64544E">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2025.01.08</w:t>
            </w:r>
          </w:p>
        </w:tc>
        <w:tc>
          <w:tcPr>
            <w:tcW w:w="2350" w:type="dxa"/>
            <w:tcBorders>
              <w:tl2br w:val="nil"/>
              <w:tr2bl w:val="nil"/>
            </w:tcBorders>
            <w:shd w:val="clear" w:color="auto" w:fill="auto"/>
            <w:noWrap/>
            <w:vAlign w:val="center"/>
          </w:tcPr>
          <w:p w14:paraId="69AEC73C">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辛  磊 马琳琳</w:t>
            </w:r>
          </w:p>
        </w:tc>
        <w:tc>
          <w:tcPr>
            <w:tcW w:w="2918" w:type="dxa"/>
            <w:tcBorders>
              <w:tl2br w:val="nil"/>
              <w:tr2bl w:val="nil"/>
            </w:tcBorders>
            <w:shd w:val="clear" w:color="auto" w:fill="auto"/>
            <w:noWrap/>
            <w:vAlign w:val="center"/>
          </w:tcPr>
          <w:p w14:paraId="1C8D8C89">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现场考察</w:t>
            </w:r>
          </w:p>
        </w:tc>
      </w:tr>
      <w:tr w14:paraId="0B67BD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F5F5E93">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46D96837">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2025.01.09</w:t>
            </w:r>
          </w:p>
        </w:tc>
        <w:tc>
          <w:tcPr>
            <w:tcW w:w="2350" w:type="dxa"/>
            <w:tcBorders>
              <w:tl2br w:val="nil"/>
              <w:tr2bl w:val="nil"/>
            </w:tcBorders>
            <w:shd w:val="clear" w:color="auto" w:fill="auto"/>
            <w:noWrap/>
            <w:vAlign w:val="center"/>
          </w:tcPr>
          <w:p w14:paraId="4FC9AA0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辛  磊 马琳琳</w:t>
            </w:r>
          </w:p>
        </w:tc>
        <w:tc>
          <w:tcPr>
            <w:tcW w:w="2918" w:type="dxa"/>
            <w:tcBorders>
              <w:tl2br w:val="nil"/>
              <w:tr2bl w:val="nil"/>
            </w:tcBorders>
            <w:shd w:val="clear" w:color="auto" w:fill="auto"/>
            <w:noWrap/>
            <w:vAlign w:val="center"/>
          </w:tcPr>
          <w:p w14:paraId="3DDF3E34">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现场检查</w:t>
            </w:r>
          </w:p>
        </w:tc>
      </w:tr>
      <w:tr w14:paraId="2ABB47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2E76A099">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4217E0F5">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2025.01.10</w:t>
            </w:r>
          </w:p>
        </w:tc>
        <w:tc>
          <w:tcPr>
            <w:tcW w:w="2350" w:type="dxa"/>
            <w:tcBorders>
              <w:tl2br w:val="nil"/>
              <w:tr2bl w:val="nil"/>
            </w:tcBorders>
            <w:shd w:val="clear" w:color="auto" w:fill="auto"/>
            <w:noWrap/>
            <w:vAlign w:val="center"/>
          </w:tcPr>
          <w:p w14:paraId="4E97D39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辛  磊 马琳琳</w:t>
            </w:r>
          </w:p>
        </w:tc>
        <w:tc>
          <w:tcPr>
            <w:tcW w:w="2918" w:type="dxa"/>
            <w:tcBorders>
              <w:tl2br w:val="nil"/>
              <w:tr2bl w:val="nil"/>
            </w:tcBorders>
            <w:shd w:val="clear" w:color="auto" w:fill="auto"/>
            <w:noWrap/>
            <w:vAlign w:val="center"/>
          </w:tcPr>
          <w:p w14:paraId="62B37A45">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现场核查</w:t>
            </w:r>
          </w:p>
        </w:tc>
      </w:tr>
      <w:tr w14:paraId="59D3EE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9288" w:type="dxa"/>
            <w:gridSpan w:val="4"/>
            <w:tcBorders>
              <w:tl2br w:val="nil"/>
              <w:tr2bl w:val="nil"/>
            </w:tcBorders>
            <w:shd w:val="clear" w:color="auto" w:fill="auto"/>
            <w:vAlign w:val="center"/>
          </w:tcPr>
          <w:p w14:paraId="1E217AFE">
            <w:pPr>
              <w:autoSpaceDE w:val="0"/>
              <w:autoSpaceDN w:val="0"/>
              <w:adjustRightInd w:val="0"/>
              <w:snapToGrid w:val="0"/>
              <w:spacing w:line="240" w:lineRule="auto"/>
              <w:ind w:firstLine="0" w:firstLineChars="0"/>
              <w:jc w:val="left"/>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安全评价报告提交时间：2025.01.14</w:t>
            </w:r>
          </w:p>
        </w:tc>
      </w:tr>
      <w:tr w14:paraId="520FBA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9288" w:type="dxa"/>
            <w:gridSpan w:val="4"/>
            <w:tcBorders>
              <w:tl2br w:val="nil"/>
              <w:tr2bl w:val="nil"/>
            </w:tcBorders>
            <w:shd w:val="clear" w:color="auto" w:fill="auto"/>
            <w:vAlign w:val="center"/>
          </w:tcPr>
          <w:p w14:paraId="6F94C4E7">
            <w:pPr>
              <w:autoSpaceDE w:val="0"/>
              <w:autoSpaceDN w:val="0"/>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有必要公开的其它内容：</w:t>
            </w:r>
          </w:p>
        </w:tc>
      </w:tr>
    </w:tbl>
    <w:p w14:paraId="09987024">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p>
    <w:p w14:paraId="2A3A971C">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p>
    <w:p w14:paraId="4C8FFBC7">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新泰市杞星石化加油站安全现状评价现场照片</w:t>
      </w:r>
    </w:p>
    <w:p w14:paraId="5D05D60E">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rPr>
          <w:rFonts w:hint="default"/>
          <w:lang w:val="en-US" w:eastAsia="zh-CN"/>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r>
        <w:rPr>
          <w:rFonts w:hint="default"/>
          <w:lang w:val="en-US" w:eastAsia="zh-CN"/>
        </w:rPr>
        <w:drawing>
          <wp:inline distT="0" distB="0" distL="114300" distR="114300">
            <wp:extent cx="5488305" cy="4116070"/>
            <wp:effectExtent l="0" t="0" r="17145" b="17780"/>
            <wp:docPr id="8" name="图片 8" descr="IMG_20250109_160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0250109_160550"/>
                    <pic:cNvPicPr>
                      <a:picLocks noChangeAspect="1"/>
                    </pic:cNvPicPr>
                  </pic:nvPicPr>
                  <pic:blipFill>
                    <a:blip r:embed="rId4"/>
                    <a:stretch>
                      <a:fillRect/>
                    </a:stretch>
                  </pic:blipFill>
                  <pic:spPr>
                    <a:xfrm>
                      <a:off x="0" y="0"/>
                      <a:ext cx="5488305" cy="4116070"/>
                    </a:xfrm>
                    <a:prstGeom prst="rect">
                      <a:avLst/>
                    </a:prstGeom>
                  </pic:spPr>
                </pic:pic>
              </a:graphicData>
            </a:graphic>
          </wp:inline>
        </w:drawing>
      </w:r>
      <w:r>
        <w:rPr>
          <w:rFonts w:hint="default"/>
          <w:lang w:val="en-US" w:eastAsia="zh-CN"/>
        </w:rPr>
        <w:drawing>
          <wp:inline distT="0" distB="0" distL="114300" distR="114300">
            <wp:extent cx="5547995" cy="4161155"/>
            <wp:effectExtent l="0" t="0" r="14605" b="10795"/>
            <wp:docPr id="7" name="图片 7" descr="IMG_20250109_160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250109_160540"/>
                    <pic:cNvPicPr>
                      <a:picLocks noChangeAspect="1"/>
                    </pic:cNvPicPr>
                  </pic:nvPicPr>
                  <pic:blipFill>
                    <a:blip r:embed="rId5"/>
                    <a:stretch>
                      <a:fillRect/>
                    </a:stretch>
                  </pic:blipFill>
                  <pic:spPr>
                    <a:xfrm>
                      <a:off x="0" y="0"/>
                      <a:ext cx="5547995" cy="4161155"/>
                    </a:xfrm>
                    <a:prstGeom prst="rect">
                      <a:avLst/>
                    </a:prstGeom>
                  </pic:spPr>
                </pic:pic>
              </a:graphicData>
            </a:graphic>
          </wp:inline>
        </w:drawing>
      </w:r>
    </w:p>
    <w:p w14:paraId="16CDF603">
      <w:pPr>
        <w:pStyle w:val="14"/>
        <w:widowControl w:val="0"/>
        <w:adjustRightInd w:val="0"/>
        <w:snapToGrid w:val="0"/>
        <w:spacing w:before="468" w:beforeLines="150" w:after="156" w:afterLines="50" w:line="360" w:lineRule="auto"/>
      </w:pPr>
      <w:bookmarkStart w:id="0" w:name="_Toc15033742"/>
      <w:bookmarkStart w:id="1" w:name="_Toc102634395"/>
      <w:bookmarkStart w:id="2" w:name="_Toc102633969"/>
      <w:bookmarkStart w:id="3" w:name="_Toc102634226"/>
      <w:bookmarkStart w:id="4" w:name="_Toc102633895"/>
      <w:r>
        <w:t>第二章 加油站概况</w:t>
      </w:r>
      <w:bookmarkEnd w:id="0"/>
      <w:bookmarkEnd w:id="1"/>
      <w:bookmarkEnd w:id="2"/>
      <w:bookmarkEnd w:id="3"/>
      <w:bookmarkEnd w:id="4"/>
    </w:p>
    <w:p w14:paraId="187FE23E">
      <w:pPr>
        <w:adjustRightInd w:val="0"/>
        <w:snapToGrid w:val="0"/>
        <w:spacing w:line="360" w:lineRule="auto"/>
        <w:jc w:val="center"/>
        <w:outlineLvl w:val="1"/>
        <w:rPr>
          <w:rFonts w:ascii="Calibri" w:hAnsi="Calibri" w:eastAsia="楷体_GB2312"/>
          <w:b/>
          <w:kern w:val="0"/>
          <w:sz w:val="32"/>
          <w:szCs w:val="20"/>
        </w:rPr>
      </w:pPr>
      <w:bookmarkStart w:id="5" w:name="_Toc30066"/>
      <w:bookmarkStart w:id="6" w:name="_Toc26504"/>
      <w:bookmarkStart w:id="7" w:name="_Toc102634227"/>
      <w:bookmarkStart w:id="8" w:name="_Toc102634396"/>
      <w:bookmarkStart w:id="9" w:name="_Toc102633970"/>
      <w:bookmarkStart w:id="10" w:name="_Toc102633896"/>
      <w:bookmarkStart w:id="11" w:name="_Toc15033743"/>
      <w:bookmarkStart w:id="12" w:name="_Toc272364524"/>
      <w:bookmarkStart w:id="13" w:name="_Toc208733856"/>
      <w:r>
        <w:rPr>
          <w:rFonts w:ascii="Calibri" w:hAnsi="Calibri" w:eastAsia="楷体_GB2312"/>
          <w:b/>
          <w:kern w:val="0"/>
          <w:sz w:val="32"/>
          <w:szCs w:val="20"/>
        </w:rPr>
        <w:t>第一节 加油站基本情况</w:t>
      </w:r>
      <w:bookmarkEnd w:id="5"/>
      <w:bookmarkEnd w:id="6"/>
      <w:bookmarkEnd w:id="7"/>
      <w:bookmarkEnd w:id="8"/>
      <w:bookmarkEnd w:id="9"/>
      <w:bookmarkEnd w:id="10"/>
      <w:bookmarkEnd w:id="11"/>
      <w:bookmarkEnd w:id="12"/>
      <w:bookmarkEnd w:id="13"/>
    </w:p>
    <w:p w14:paraId="524185DB">
      <w:pPr>
        <w:pStyle w:val="13"/>
        <w:keepLines w:val="0"/>
        <w:widowControl w:val="0"/>
        <w:overflowPunct/>
        <w:bidi w:val="0"/>
        <w:adjustRightInd w:val="0"/>
        <w:snapToGrid w:val="0"/>
        <w:spacing w:line="360" w:lineRule="auto"/>
        <w:ind w:firstLine="560"/>
        <w:rPr>
          <w:rFonts w:hint="default" w:ascii="宋体" w:hAnsi="宋体" w:eastAsia="宋体"/>
          <w:szCs w:val="28"/>
          <w:lang w:val="en-US" w:eastAsia="zh-CN"/>
        </w:rPr>
      </w:pPr>
      <w:r>
        <w:rPr>
          <w:rFonts w:hint="eastAsia" w:ascii="宋体" w:hAnsi="宋体"/>
          <w:szCs w:val="28"/>
          <w:lang w:eastAsia="zh-CN"/>
        </w:rPr>
        <w:t>新泰市杞星石化加油站（原新泰市强新加油站）位于山东省泰安市新泰市西张庄镇马岭庄村北邻济临路北，该站西侧为修车间、民房，东侧为莲花山路(097乡道)，北侧为废弃房屋，南临济临路（S241）。2024年02月01日，新泰市强新加油站法定代表人由安杏变更为王贝贝；现由于公司发展规划调整，</w:t>
      </w:r>
      <w:r>
        <w:rPr>
          <w:rFonts w:hint="eastAsia" w:ascii="宋体" w:hAnsi="宋体"/>
          <w:szCs w:val="28"/>
          <w:lang w:val="en-US" w:eastAsia="zh-CN"/>
        </w:rPr>
        <w:t>于2024年12月20日取得了由新泰市市场监督管理局出具的《企业名称保留告知书》，</w:t>
      </w:r>
      <w:r>
        <w:rPr>
          <w:rFonts w:hint="eastAsia" w:ascii="宋体" w:hAnsi="宋体"/>
          <w:szCs w:val="28"/>
          <w:lang w:eastAsia="zh-CN"/>
        </w:rPr>
        <w:t>“新泰市强新加油站”名称变更登记为“新泰市杞星石化加油站”，此次名称变更加油站对罩棚、站房进行重新装饰，站内西北侧闲置棚拆除，加油区新增2个可燃气体探测器，加油站其余总平面布置、法定代表人、加油站位置未发生变化，该站经营许可范围为汽油、柴油，现其主要储存经营汽油、柴油（0#与-10#换季销售）</w:t>
      </w:r>
    </w:p>
    <w:p w14:paraId="6E1D8E49">
      <w:pPr>
        <w:pStyle w:val="13"/>
        <w:keepLines w:val="0"/>
        <w:widowControl w:val="0"/>
        <w:overflowPunct/>
        <w:bidi w:val="0"/>
        <w:adjustRightInd w:val="0"/>
        <w:snapToGrid w:val="0"/>
        <w:spacing w:line="360" w:lineRule="auto"/>
        <w:ind w:firstLine="560"/>
        <w:rPr>
          <w:rFonts w:ascii="宋体"/>
          <w:vertAlign w:val="superscript"/>
        </w:rPr>
      </w:pPr>
      <w:r>
        <w:rPr>
          <w:rFonts w:hint="eastAsia" w:ascii="宋体" w:hAnsi="宋体"/>
          <w:szCs w:val="28"/>
        </w:rPr>
        <w:t>该加油站主要建有站房、油罐区、加油区</w:t>
      </w:r>
      <w:r>
        <w:rPr>
          <w:rFonts w:hint="eastAsia" w:ascii="宋体" w:hAnsi="宋体"/>
          <w:szCs w:val="28"/>
          <w:lang w:eastAsia="zh-CN"/>
        </w:rPr>
        <w:t>、</w:t>
      </w:r>
      <w:r>
        <w:rPr>
          <w:rFonts w:hint="eastAsia" w:ascii="宋体" w:hAnsi="宋体"/>
          <w:szCs w:val="28"/>
          <w:lang w:val="en-US" w:eastAsia="zh-CN"/>
        </w:rPr>
        <w:t>洗车区</w:t>
      </w:r>
      <w:r>
        <w:rPr>
          <w:rFonts w:hint="eastAsia" w:ascii="宋体" w:hAnsi="宋体"/>
          <w:szCs w:val="28"/>
        </w:rPr>
        <w:t>等。站房在</w:t>
      </w:r>
      <w:r>
        <w:rPr>
          <w:rFonts w:hint="eastAsia" w:ascii="宋体" w:hAnsi="宋体"/>
          <w:szCs w:val="28"/>
          <w:lang w:val="en-US" w:eastAsia="zh-CN"/>
        </w:rPr>
        <w:t>站区中部</w:t>
      </w:r>
      <w:r>
        <w:rPr>
          <w:rFonts w:hint="eastAsia" w:ascii="宋体" w:hAnsi="宋体"/>
          <w:szCs w:val="28"/>
        </w:rPr>
        <w:t>，加油区在</w:t>
      </w:r>
      <w:r>
        <w:rPr>
          <w:rFonts w:hint="eastAsia" w:ascii="宋体" w:hAnsi="宋体"/>
          <w:szCs w:val="28"/>
          <w:lang w:val="en-US" w:eastAsia="zh-CN"/>
        </w:rPr>
        <w:t>站房南</w:t>
      </w:r>
      <w:r>
        <w:rPr>
          <w:rFonts w:hint="eastAsia" w:ascii="宋体" w:hAnsi="宋体"/>
          <w:szCs w:val="28"/>
        </w:rPr>
        <w:t>侧，现有</w:t>
      </w:r>
      <w:r>
        <w:rPr>
          <w:rFonts w:hint="eastAsia" w:ascii="宋体" w:hAnsi="宋体"/>
          <w:szCs w:val="28"/>
          <w:lang w:val="en-US" w:eastAsia="zh-CN"/>
        </w:rPr>
        <w:t>4</w:t>
      </w:r>
      <w:r>
        <w:rPr>
          <w:rFonts w:hint="eastAsia" w:ascii="宋体" w:hAnsi="宋体"/>
          <w:szCs w:val="28"/>
        </w:rPr>
        <w:t>台双枪加油机</w:t>
      </w:r>
      <w:r>
        <w:rPr>
          <w:rFonts w:hint="eastAsia" w:ascii="宋体" w:hAnsi="宋体"/>
          <w:szCs w:val="28"/>
          <w:lang w:eastAsia="zh-CN"/>
        </w:rPr>
        <w:t>：1台92#双枪加油机（停用1枪）、1台92#/95#双枪加油机、1台柴油双枪加油机、闲置1台</w:t>
      </w:r>
      <w:r>
        <w:rPr>
          <w:rFonts w:hint="eastAsia" w:ascii="宋体" w:hAnsi="宋体"/>
          <w:szCs w:val="28"/>
        </w:rPr>
        <w:t>，均为</w:t>
      </w:r>
      <w:r>
        <w:rPr>
          <w:rFonts w:hint="eastAsia" w:ascii="宋体" w:hAnsi="宋体"/>
          <w:szCs w:val="28"/>
          <w:lang w:val="en-US" w:eastAsia="zh-CN"/>
        </w:rPr>
        <w:t>自吸</w:t>
      </w:r>
      <w:r>
        <w:rPr>
          <w:rFonts w:hint="eastAsia" w:ascii="宋体" w:hAnsi="宋体"/>
          <w:szCs w:val="28"/>
        </w:rPr>
        <w:t>式；</w:t>
      </w:r>
      <w:r>
        <w:rPr>
          <w:rFonts w:hint="eastAsia" w:ascii="宋体" w:hAnsi="宋体"/>
          <w:szCs w:val="28"/>
          <w:lang w:val="en-US" w:eastAsia="zh-CN"/>
        </w:rPr>
        <w:t>油罐区</w:t>
      </w:r>
      <w:r>
        <w:rPr>
          <w:rFonts w:hint="eastAsia" w:ascii="宋体" w:hAnsi="宋体"/>
          <w:szCs w:val="28"/>
        </w:rPr>
        <w:t>布置在</w:t>
      </w:r>
      <w:r>
        <w:rPr>
          <w:rFonts w:hint="eastAsia" w:ascii="宋体" w:hAnsi="宋体"/>
          <w:szCs w:val="28"/>
          <w:lang w:val="en-US" w:eastAsia="zh-CN"/>
        </w:rPr>
        <w:t>站房东</w:t>
      </w:r>
      <w:r>
        <w:rPr>
          <w:rFonts w:hint="eastAsia" w:ascii="宋体" w:hAnsi="宋体"/>
          <w:szCs w:val="28"/>
        </w:rPr>
        <w:t>侧，自</w:t>
      </w:r>
      <w:r>
        <w:rPr>
          <w:rFonts w:hint="eastAsia" w:ascii="宋体" w:hAnsi="宋体"/>
          <w:szCs w:val="28"/>
          <w:lang w:val="en-US" w:eastAsia="zh-CN"/>
        </w:rPr>
        <w:t>北</w:t>
      </w:r>
      <w:r>
        <w:rPr>
          <w:rFonts w:hint="eastAsia" w:ascii="宋体" w:hAnsi="宋体"/>
          <w:szCs w:val="28"/>
        </w:rPr>
        <w:t>向</w:t>
      </w:r>
      <w:r>
        <w:rPr>
          <w:rFonts w:hint="eastAsia" w:ascii="宋体" w:hAnsi="宋体"/>
          <w:szCs w:val="28"/>
          <w:lang w:val="en-US" w:eastAsia="zh-CN"/>
        </w:rPr>
        <w:t>南</w:t>
      </w:r>
      <w:r>
        <w:rPr>
          <w:rFonts w:hint="eastAsia" w:ascii="宋体" w:hAnsi="宋体"/>
          <w:szCs w:val="28"/>
        </w:rPr>
        <w:t>分别为：</w:t>
      </w:r>
      <w:r>
        <w:rPr>
          <w:rFonts w:hint="eastAsia" w:ascii="宋体" w:hAnsi="宋体"/>
          <w:szCs w:val="28"/>
          <w:lang w:val="en-US" w:eastAsia="zh-CN"/>
        </w:rPr>
        <w:t>2</w:t>
      </w:r>
      <w:r>
        <w:rPr>
          <w:rFonts w:hint="eastAsia" w:ascii="宋体" w:hAnsi="宋体"/>
          <w:szCs w:val="28"/>
        </w:rPr>
        <w:t>台</w:t>
      </w:r>
      <w:r>
        <w:rPr>
          <w:rFonts w:hint="eastAsia" w:ascii="宋体" w:hAnsi="宋体"/>
          <w:szCs w:val="28"/>
          <w:lang w:val="en-US" w:eastAsia="zh-CN"/>
        </w:rPr>
        <w:t>3</w:t>
      </w:r>
      <w:r>
        <w:rPr>
          <w:rFonts w:hint="eastAsia" w:ascii="宋体" w:hAnsi="宋体"/>
          <w:szCs w:val="28"/>
        </w:rPr>
        <w:t>0</w:t>
      </w:r>
      <w:r>
        <w:rPr>
          <w:rFonts w:hint="eastAsia" w:ascii="宋体" w:hAnsi="宋体"/>
          <w:szCs w:val="28"/>
          <w:lang w:val="en-US" w:eastAsia="zh-CN"/>
        </w:rPr>
        <w:t>m³</w:t>
      </w:r>
      <w:r>
        <w:rPr>
          <w:rFonts w:hint="eastAsia" w:ascii="宋体" w:hAnsi="宋体"/>
          <w:szCs w:val="28"/>
        </w:rPr>
        <w:t>柴油罐、1台</w:t>
      </w:r>
      <w:r>
        <w:rPr>
          <w:rFonts w:hint="eastAsia" w:ascii="宋体" w:hAnsi="宋体"/>
          <w:szCs w:val="28"/>
          <w:lang w:val="en-US" w:eastAsia="zh-CN"/>
        </w:rPr>
        <w:t>3</w:t>
      </w:r>
      <w:r>
        <w:rPr>
          <w:rFonts w:hint="eastAsia" w:ascii="宋体" w:hAnsi="宋体"/>
          <w:szCs w:val="28"/>
        </w:rPr>
        <w:t>0</w:t>
      </w:r>
      <w:r>
        <w:rPr>
          <w:rFonts w:hint="eastAsia" w:ascii="宋体" w:hAnsi="宋体"/>
          <w:szCs w:val="28"/>
          <w:lang w:val="en-US" w:eastAsia="zh-CN"/>
        </w:rPr>
        <w:t>m³</w:t>
      </w:r>
      <w:r>
        <w:rPr>
          <w:rFonts w:hint="eastAsia" w:ascii="宋体" w:hAnsi="宋体"/>
          <w:szCs w:val="28"/>
        </w:rPr>
        <w:t>9</w:t>
      </w:r>
      <w:r>
        <w:rPr>
          <w:rFonts w:hint="eastAsia" w:ascii="宋体" w:hAnsi="宋体"/>
          <w:szCs w:val="28"/>
          <w:lang w:val="en-US" w:eastAsia="zh-CN"/>
        </w:rPr>
        <w:t>5</w:t>
      </w:r>
      <w:r>
        <w:rPr>
          <w:rFonts w:hint="eastAsia" w:ascii="宋体" w:hAnsi="宋体"/>
          <w:szCs w:val="28"/>
        </w:rPr>
        <w:t>#汽油罐</w:t>
      </w:r>
      <w:r>
        <w:rPr>
          <w:rFonts w:hint="eastAsia" w:ascii="宋体" w:hAnsi="宋体"/>
          <w:szCs w:val="28"/>
          <w:lang w:eastAsia="zh-CN"/>
        </w:rPr>
        <w:t>、</w:t>
      </w:r>
      <w:r>
        <w:rPr>
          <w:rFonts w:hint="eastAsia" w:ascii="宋体" w:hAnsi="宋体"/>
          <w:szCs w:val="28"/>
        </w:rPr>
        <w:t>1台</w:t>
      </w:r>
      <w:r>
        <w:rPr>
          <w:rFonts w:hint="eastAsia" w:ascii="宋体" w:hAnsi="宋体"/>
          <w:szCs w:val="28"/>
          <w:lang w:val="en-US" w:eastAsia="zh-CN"/>
        </w:rPr>
        <w:t>3</w:t>
      </w:r>
      <w:r>
        <w:rPr>
          <w:rFonts w:hint="eastAsia" w:ascii="宋体" w:hAnsi="宋体"/>
          <w:szCs w:val="28"/>
        </w:rPr>
        <w:t>0</w:t>
      </w:r>
      <w:r>
        <w:rPr>
          <w:rFonts w:hint="eastAsia" w:ascii="宋体" w:hAnsi="宋体"/>
          <w:szCs w:val="28"/>
          <w:lang w:val="en-US" w:eastAsia="zh-CN"/>
        </w:rPr>
        <w:t>m³</w:t>
      </w:r>
      <w:r>
        <w:rPr>
          <w:rFonts w:hint="eastAsia" w:ascii="宋体" w:hAnsi="宋体"/>
          <w:szCs w:val="28"/>
        </w:rPr>
        <w:t>9</w:t>
      </w:r>
      <w:r>
        <w:rPr>
          <w:rFonts w:hint="eastAsia" w:ascii="宋体" w:hAnsi="宋体"/>
          <w:szCs w:val="28"/>
          <w:lang w:val="en-US" w:eastAsia="zh-CN"/>
        </w:rPr>
        <w:t>2</w:t>
      </w:r>
      <w:r>
        <w:rPr>
          <w:rFonts w:hint="eastAsia" w:ascii="宋体" w:hAnsi="宋体"/>
          <w:szCs w:val="28"/>
        </w:rPr>
        <w:t>#汽油罐</w:t>
      </w:r>
      <w:r>
        <w:rPr>
          <w:rFonts w:hint="eastAsia" w:ascii="宋体" w:hAnsi="宋体"/>
          <w:szCs w:val="28"/>
          <w:lang w:eastAsia="zh-CN"/>
        </w:rPr>
        <w:t>，</w:t>
      </w:r>
      <w:r>
        <w:rPr>
          <w:rFonts w:hint="eastAsia" w:ascii="宋体" w:hAnsi="宋体"/>
          <w:szCs w:val="28"/>
        </w:rPr>
        <w:t>汽油、柴油卸油口均</w:t>
      </w:r>
      <w:r>
        <w:rPr>
          <w:rFonts w:hint="eastAsia" w:ascii="宋体" w:hAnsi="宋体"/>
          <w:szCs w:val="28"/>
          <w:lang w:val="en-US" w:eastAsia="zh-CN"/>
        </w:rPr>
        <w:t>位于罐区南侧，罐区内东侧</w:t>
      </w:r>
      <w:r>
        <w:rPr>
          <w:rFonts w:hint="eastAsia" w:ascii="宋体" w:hAnsi="宋体"/>
          <w:szCs w:val="28"/>
        </w:rPr>
        <w:t>共有通气管</w:t>
      </w:r>
      <w:r>
        <w:rPr>
          <w:rFonts w:hint="eastAsia" w:ascii="宋体" w:hAnsi="宋体"/>
          <w:szCs w:val="28"/>
          <w:lang w:val="en-US" w:eastAsia="zh-CN"/>
        </w:rPr>
        <w:t>3</w:t>
      </w:r>
      <w:r>
        <w:rPr>
          <w:rFonts w:hint="eastAsia" w:ascii="宋体" w:hAnsi="宋体"/>
          <w:szCs w:val="28"/>
        </w:rPr>
        <w:t>根（</w:t>
      </w:r>
      <w:r>
        <w:rPr>
          <w:rFonts w:hint="eastAsia" w:ascii="宋体" w:hAnsi="宋体"/>
          <w:szCs w:val="28"/>
          <w:lang w:val="en-US" w:eastAsia="zh-CN"/>
        </w:rPr>
        <w:t>含</w:t>
      </w:r>
      <w:r>
        <w:rPr>
          <w:rFonts w:hint="eastAsia" w:ascii="宋体" w:hAnsi="宋体"/>
          <w:szCs w:val="28"/>
        </w:rPr>
        <w:t>油气回收装置</w:t>
      </w:r>
      <w:r>
        <w:rPr>
          <w:rFonts w:hint="eastAsia" w:ascii="宋体" w:hAnsi="宋体"/>
          <w:szCs w:val="28"/>
          <w:lang w:val="en-US" w:eastAsia="zh-CN"/>
        </w:rPr>
        <w:t>通气管</w:t>
      </w:r>
      <w:r>
        <w:rPr>
          <w:rFonts w:hint="eastAsia" w:ascii="宋体" w:hAnsi="宋体"/>
          <w:szCs w:val="28"/>
        </w:rPr>
        <w:t>）</w:t>
      </w:r>
      <w:r>
        <w:rPr>
          <w:rFonts w:hint="eastAsia" w:ascii="宋体" w:hAnsi="宋体"/>
          <w:szCs w:val="28"/>
          <w:lang w:eastAsia="zh-CN"/>
        </w:rPr>
        <w:t>；</w:t>
      </w:r>
      <w:r>
        <w:rPr>
          <w:rFonts w:hint="eastAsia" w:ascii="宋体" w:hAnsi="宋体"/>
          <w:szCs w:val="28"/>
        </w:rPr>
        <w:t>按《汽车加油加气加氢站技术标准》GB50156-2021标准规定：V=60+</w:t>
      </w:r>
      <w:r>
        <w:rPr>
          <w:rFonts w:hint="eastAsia" w:ascii="宋体" w:hAnsi="宋体"/>
          <w:szCs w:val="28"/>
          <w:lang w:val="en-US" w:eastAsia="zh-CN"/>
        </w:rPr>
        <w:t>60</w:t>
      </w:r>
      <w:r>
        <w:rPr>
          <w:rFonts w:hint="eastAsia" w:ascii="宋体" w:hAnsi="宋体"/>
          <w:szCs w:val="28"/>
        </w:rPr>
        <w:t>/2=</w:t>
      </w:r>
      <w:r>
        <w:rPr>
          <w:rFonts w:hint="eastAsia" w:ascii="宋体" w:hAnsi="宋体"/>
          <w:szCs w:val="28"/>
          <w:lang w:val="en-US" w:eastAsia="zh-CN"/>
        </w:rPr>
        <w:t>90</w:t>
      </w:r>
      <w:r>
        <w:rPr>
          <w:rFonts w:hint="eastAsia" w:ascii="宋体" w:hAnsi="宋体"/>
          <w:szCs w:val="28"/>
        </w:rPr>
        <w:t>m</w:t>
      </w:r>
      <w:r>
        <w:rPr>
          <w:rFonts w:hint="eastAsia" w:ascii="宋体" w:hAnsi="宋体"/>
          <w:szCs w:val="28"/>
          <w:vertAlign w:val="superscript"/>
        </w:rPr>
        <w:t>3</w:t>
      </w:r>
      <w:r>
        <w:rPr>
          <w:rFonts w:hint="eastAsia" w:ascii="宋体" w:hAnsi="宋体"/>
          <w:szCs w:val="28"/>
        </w:rPr>
        <w:t>，该站属</w:t>
      </w:r>
      <w:r>
        <w:rPr>
          <w:rFonts w:hint="eastAsia" w:ascii="宋体" w:hAnsi="宋体"/>
          <w:szCs w:val="28"/>
          <w:lang w:val="en-US" w:eastAsia="zh-CN"/>
        </w:rPr>
        <w:t>三级</w:t>
      </w:r>
      <w:r>
        <w:rPr>
          <w:rFonts w:hint="eastAsia" w:ascii="宋体" w:hAnsi="宋体"/>
          <w:szCs w:val="28"/>
        </w:rPr>
        <w:t>加油站；该站汽油设有卸油油气回收系统、加油油气回收系统及油气</w:t>
      </w:r>
      <w:r>
        <w:rPr>
          <w:rFonts w:hint="eastAsia" w:ascii="宋体" w:hAnsi="宋体"/>
          <w:szCs w:val="28"/>
          <w:lang w:val="en-US" w:eastAsia="zh-CN"/>
        </w:rPr>
        <w:t>回收</w:t>
      </w:r>
      <w:r>
        <w:rPr>
          <w:rFonts w:hint="eastAsia" w:ascii="宋体" w:hAnsi="宋体"/>
          <w:szCs w:val="28"/>
        </w:rPr>
        <w:t>装置（三次油气回收系统）；</w:t>
      </w:r>
      <w:r>
        <w:rPr>
          <w:rFonts w:hint="eastAsia" w:ascii="宋体" w:hAnsi="宋体"/>
          <w:szCs w:val="28"/>
          <w:lang w:val="en-US" w:eastAsia="zh-CN"/>
        </w:rPr>
        <w:t>站房北侧设有1处洗车间及洗车棚</w:t>
      </w:r>
      <w:r>
        <w:rPr>
          <w:rFonts w:hint="eastAsia" w:ascii="宋体"/>
        </w:rPr>
        <w:t>。</w:t>
      </w:r>
    </w:p>
    <w:p w14:paraId="5012ECEE">
      <w:pPr>
        <w:pStyle w:val="15"/>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pPr>
      <w:r>
        <w:t>表</w:t>
      </w:r>
      <w:r>
        <w:rPr>
          <w:rFonts w:ascii="黑体" w:hAnsi="黑体"/>
        </w:rPr>
        <w:t xml:space="preserve">2.1-1 </w:t>
      </w:r>
      <w:r>
        <w:t>加油站的等级划分</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087"/>
        <w:gridCol w:w="3097"/>
        <w:gridCol w:w="3104"/>
      </w:tblGrid>
      <w:tr w14:paraId="021D86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Merge w:val="restart"/>
            <w:vAlign w:val="center"/>
          </w:tcPr>
          <w:p w14:paraId="404461B7">
            <w:pPr>
              <w:pStyle w:val="16"/>
              <w:keepLines w:val="0"/>
              <w:widowControl w:val="0"/>
              <w:overflowPunct/>
              <w:bidi w:val="0"/>
              <w:adjustRightInd w:val="0"/>
              <w:snapToGrid w:val="0"/>
              <w:spacing w:line="360" w:lineRule="auto"/>
              <w:rPr>
                <w:rFonts w:ascii="宋体" w:hAnsi="宋体"/>
                <w:b/>
                <w:bCs/>
              </w:rPr>
            </w:pPr>
            <w:r>
              <w:rPr>
                <w:rFonts w:ascii="宋体" w:hAnsi="宋体"/>
                <w:b/>
                <w:bCs/>
              </w:rPr>
              <w:t>加油站</w:t>
            </w:r>
            <w:r>
              <w:rPr>
                <w:rFonts w:hint="eastAsia" w:ascii="宋体" w:hAnsi="宋体"/>
                <w:b/>
                <w:bCs/>
              </w:rPr>
              <w:t>等级</w:t>
            </w:r>
          </w:p>
        </w:tc>
        <w:tc>
          <w:tcPr>
            <w:tcW w:w="3338" w:type="pct"/>
            <w:gridSpan w:val="2"/>
            <w:vAlign w:val="center"/>
          </w:tcPr>
          <w:p w14:paraId="0D0B17EC">
            <w:pPr>
              <w:pStyle w:val="16"/>
              <w:keepLines w:val="0"/>
              <w:widowControl w:val="0"/>
              <w:overflowPunct/>
              <w:bidi w:val="0"/>
              <w:adjustRightInd w:val="0"/>
              <w:snapToGrid w:val="0"/>
              <w:spacing w:line="360" w:lineRule="auto"/>
              <w:rPr>
                <w:rFonts w:ascii="宋体" w:hAnsi="宋体"/>
                <w:b/>
                <w:bCs/>
              </w:rPr>
            </w:pPr>
            <w:r>
              <w:rPr>
                <w:rFonts w:ascii="宋体" w:hAnsi="宋体"/>
                <w:b/>
                <w:bCs/>
              </w:rPr>
              <w:t>加油站油罐容积（m</w:t>
            </w:r>
            <w:r>
              <w:rPr>
                <w:rFonts w:ascii="宋体" w:hAnsi="宋体"/>
                <w:b/>
                <w:bCs/>
                <w:vertAlign w:val="superscript"/>
              </w:rPr>
              <w:t>3</w:t>
            </w:r>
            <w:r>
              <w:rPr>
                <w:rFonts w:ascii="宋体" w:hAnsi="宋体"/>
                <w:b/>
                <w:bCs/>
              </w:rPr>
              <w:t>）</w:t>
            </w:r>
          </w:p>
        </w:tc>
      </w:tr>
      <w:tr w14:paraId="46A92C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Merge w:val="continue"/>
            <w:vAlign w:val="center"/>
          </w:tcPr>
          <w:p w14:paraId="51A58DC5">
            <w:pPr>
              <w:pStyle w:val="16"/>
              <w:keepLines w:val="0"/>
              <w:widowControl w:val="0"/>
              <w:overflowPunct/>
              <w:bidi w:val="0"/>
              <w:adjustRightInd w:val="0"/>
              <w:snapToGrid w:val="0"/>
              <w:spacing w:line="360" w:lineRule="auto"/>
              <w:rPr>
                <w:rFonts w:ascii="宋体" w:hAnsi="宋体"/>
                <w:b/>
                <w:bCs/>
              </w:rPr>
            </w:pPr>
          </w:p>
        </w:tc>
        <w:tc>
          <w:tcPr>
            <w:tcW w:w="1667" w:type="pct"/>
            <w:vAlign w:val="center"/>
          </w:tcPr>
          <w:p w14:paraId="020D7514">
            <w:pPr>
              <w:pStyle w:val="16"/>
              <w:keepLines w:val="0"/>
              <w:widowControl w:val="0"/>
              <w:overflowPunct/>
              <w:bidi w:val="0"/>
              <w:adjustRightInd w:val="0"/>
              <w:snapToGrid w:val="0"/>
              <w:spacing w:line="360" w:lineRule="auto"/>
              <w:rPr>
                <w:rFonts w:ascii="宋体" w:hAnsi="宋体"/>
                <w:b/>
                <w:bCs/>
              </w:rPr>
            </w:pPr>
            <w:r>
              <w:rPr>
                <w:rFonts w:ascii="宋体" w:hAnsi="宋体"/>
                <w:b/>
                <w:bCs/>
              </w:rPr>
              <w:t>总容积</w:t>
            </w:r>
            <w:r>
              <w:rPr>
                <w:rFonts w:hint="eastAsia" w:ascii="宋体" w:hAnsi="宋体"/>
                <w:b/>
                <w:bCs/>
              </w:rPr>
              <w:t>V</w:t>
            </w:r>
          </w:p>
        </w:tc>
        <w:tc>
          <w:tcPr>
            <w:tcW w:w="1671" w:type="pct"/>
            <w:vAlign w:val="center"/>
          </w:tcPr>
          <w:p w14:paraId="467FD5F9">
            <w:pPr>
              <w:pStyle w:val="16"/>
              <w:keepLines w:val="0"/>
              <w:widowControl w:val="0"/>
              <w:overflowPunct/>
              <w:bidi w:val="0"/>
              <w:adjustRightInd w:val="0"/>
              <w:snapToGrid w:val="0"/>
              <w:spacing w:line="360" w:lineRule="auto"/>
              <w:rPr>
                <w:rFonts w:ascii="宋体" w:hAnsi="宋体"/>
                <w:b/>
                <w:bCs/>
              </w:rPr>
            </w:pPr>
            <w:r>
              <w:rPr>
                <w:rFonts w:ascii="宋体" w:hAnsi="宋体"/>
                <w:b/>
                <w:bCs/>
              </w:rPr>
              <w:t>单罐容积</w:t>
            </w:r>
          </w:p>
        </w:tc>
      </w:tr>
      <w:tr w14:paraId="3CCAF0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27751371">
            <w:pPr>
              <w:pStyle w:val="16"/>
              <w:keepLines w:val="0"/>
              <w:widowControl w:val="0"/>
              <w:overflowPunct/>
              <w:bidi w:val="0"/>
              <w:adjustRightInd w:val="0"/>
              <w:snapToGrid w:val="0"/>
              <w:spacing w:line="360" w:lineRule="auto"/>
              <w:rPr>
                <w:rFonts w:ascii="宋体" w:hAnsi="宋体"/>
              </w:rPr>
            </w:pPr>
            <w:r>
              <w:rPr>
                <w:rFonts w:ascii="宋体" w:hAnsi="宋体"/>
              </w:rPr>
              <w:t>一级</w:t>
            </w:r>
          </w:p>
        </w:tc>
        <w:tc>
          <w:tcPr>
            <w:tcW w:w="1667" w:type="pct"/>
            <w:vAlign w:val="center"/>
          </w:tcPr>
          <w:p w14:paraId="6B312433">
            <w:pPr>
              <w:pStyle w:val="16"/>
              <w:keepLines w:val="0"/>
              <w:widowControl w:val="0"/>
              <w:overflowPunct/>
              <w:bidi w:val="0"/>
              <w:adjustRightInd w:val="0"/>
              <w:snapToGrid w:val="0"/>
              <w:spacing w:line="360" w:lineRule="auto"/>
              <w:rPr>
                <w:rFonts w:ascii="宋体" w:hAnsi="宋体"/>
              </w:rPr>
            </w:pPr>
            <w:r>
              <w:rPr>
                <w:rFonts w:ascii="宋体" w:hAnsi="宋体"/>
              </w:rPr>
              <w:t>150＜V</w:t>
            </w:r>
            <w:r>
              <w:rPr>
                <w:rFonts w:hint="eastAsia" w:ascii="宋体" w:hAnsi="宋体"/>
              </w:rPr>
              <w:t>≤</w:t>
            </w:r>
            <w:r>
              <w:rPr>
                <w:rFonts w:ascii="宋体" w:hAnsi="宋体"/>
              </w:rPr>
              <w:t>210</w:t>
            </w:r>
          </w:p>
        </w:tc>
        <w:tc>
          <w:tcPr>
            <w:tcW w:w="1671" w:type="pct"/>
            <w:vAlign w:val="center"/>
          </w:tcPr>
          <w:p w14:paraId="54352A6F">
            <w:pPr>
              <w:pStyle w:val="16"/>
              <w:keepLines w:val="0"/>
              <w:widowControl w:val="0"/>
              <w:overflowPunct/>
              <w:bidi w:val="0"/>
              <w:adjustRightInd w:val="0"/>
              <w:snapToGrid w:val="0"/>
              <w:spacing w:line="360" w:lineRule="auto"/>
              <w:rPr>
                <w:rFonts w:ascii="宋体" w:hAnsi="宋体"/>
              </w:rPr>
            </w:pPr>
            <w:r>
              <w:rPr>
                <w:rFonts w:hint="eastAsia" w:ascii="宋体" w:hAnsi="宋体"/>
              </w:rPr>
              <w:t>≤</w:t>
            </w:r>
            <w:r>
              <w:rPr>
                <w:rFonts w:ascii="宋体" w:hAnsi="宋体"/>
              </w:rPr>
              <w:t>50</w:t>
            </w:r>
          </w:p>
        </w:tc>
      </w:tr>
      <w:tr w14:paraId="5C6DA7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08852147">
            <w:pPr>
              <w:pStyle w:val="16"/>
              <w:keepLines w:val="0"/>
              <w:widowControl w:val="0"/>
              <w:overflowPunct/>
              <w:bidi w:val="0"/>
              <w:adjustRightInd w:val="0"/>
              <w:snapToGrid w:val="0"/>
              <w:spacing w:line="360" w:lineRule="auto"/>
              <w:rPr>
                <w:rFonts w:ascii="宋体" w:hAnsi="宋体"/>
              </w:rPr>
            </w:pPr>
            <w:r>
              <w:rPr>
                <w:rFonts w:ascii="宋体" w:hAnsi="宋体"/>
              </w:rPr>
              <w:t>二级</w:t>
            </w:r>
          </w:p>
        </w:tc>
        <w:tc>
          <w:tcPr>
            <w:tcW w:w="1667" w:type="pct"/>
            <w:vAlign w:val="center"/>
          </w:tcPr>
          <w:p w14:paraId="57016F03">
            <w:pPr>
              <w:pStyle w:val="16"/>
              <w:keepLines w:val="0"/>
              <w:widowControl w:val="0"/>
              <w:overflowPunct/>
              <w:bidi w:val="0"/>
              <w:adjustRightInd w:val="0"/>
              <w:snapToGrid w:val="0"/>
              <w:spacing w:line="360" w:lineRule="auto"/>
              <w:rPr>
                <w:rFonts w:ascii="宋体" w:hAnsi="宋体"/>
              </w:rPr>
            </w:pPr>
            <w:r>
              <w:rPr>
                <w:rFonts w:ascii="宋体" w:hAnsi="宋体"/>
              </w:rPr>
              <w:t>90</w:t>
            </w:r>
            <w:r>
              <w:rPr>
                <w:rFonts w:hint="eastAsia" w:ascii="宋体" w:hAnsi="宋体"/>
              </w:rPr>
              <w:t>＜</w:t>
            </w:r>
            <w:r>
              <w:rPr>
                <w:rFonts w:ascii="宋体" w:hAnsi="宋体"/>
              </w:rPr>
              <w:t>V</w:t>
            </w:r>
            <w:r>
              <w:rPr>
                <w:rFonts w:hint="eastAsia" w:ascii="宋体" w:hAnsi="宋体"/>
              </w:rPr>
              <w:t>≤</w:t>
            </w:r>
            <w:r>
              <w:rPr>
                <w:rFonts w:ascii="宋体" w:hAnsi="宋体"/>
              </w:rPr>
              <w:t>150</w:t>
            </w:r>
          </w:p>
        </w:tc>
        <w:tc>
          <w:tcPr>
            <w:tcW w:w="1671" w:type="pct"/>
            <w:vAlign w:val="center"/>
          </w:tcPr>
          <w:p w14:paraId="77B0A599">
            <w:pPr>
              <w:pStyle w:val="16"/>
              <w:keepLines w:val="0"/>
              <w:widowControl w:val="0"/>
              <w:overflowPunct/>
              <w:bidi w:val="0"/>
              <w:adjustRightInd w:val="0"/>
              <w:snapToGrid w:val="0"/>
              <w:spacing w:line="360" w:lineRule="auto"/>
              <w:rPr>
                <w:rFonts w:ascii="宋体" w:hAnsi="宋体"/>
              </w:rPr>
            </w:pPr>
            <w:r>
              <w:rPr>
                <w:rFonts w:hint="eastAsia" w:ascii="宋体" w:hAnsi="宋体"/>
              </w:rPr>
              <w:t>≤</w:t>
            </w:r>
            <w:r>
              <w:rPr>
                <w:rFonts w:ascii="宋体" w:hAnsi="宋体"/>
              </w:rPr>
              <w:t>50</w:t>
            </w:r>
          </w:p>
        </w:tc>
      </w:tr>
      <w:tr w14:paraId="5F6CE6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2A7AF499">
            <w:pPr>
              <w:pStyle w:val="16"/>
              <w:keepLines w:val="0"/>
              <w:widowControl w:val="0"/>
              <w:overflowPunct/>
              <w:bidi w:val="0"/>
              <w:adjustRightInd w:val="0"/>
              <w:snapToGrid w:val="0"/>
              <w:spacing w:line="360" w:lineRule="auto"/>
              <w:rPr>
                <w:rFonts w:ascii="宋体" w:hAnsi="宋体"/>
              </w:rPr>
            </w:pPr>
            <w:r>
              <w:rPr>
                <w:rFonts w:ascii="宋体" w:hAnsi="宋体"/>
              </w:rPr>
              <w:t>三级</w:t>
            </w:r>
          </w:p>
        </w:tc>
        <w:tc>
          <w:tcPr>
            <w:tcW w:w="1667" w:type="pct"/>
            <w:vAlign w:val="center"/>
          </w:tcPr>
          <w:p w14:paraId="6B784F8F">
            <w:pPr>
              <w:pStyle w:val="16"/>
              <w:keepLines w:val="0"/>
              <w:widowControl w:val="0"/>
              <w:overflowPunct/>
              <w:bidi w:val="0"/>
              <w:adjustRightInd w:val="0"/>
              <w:snapToGrid w:val="0"/>
              <w:spacing w:line="360" w:lineRule="auto"/>
              <w:rPr>
                <w:rFonts w:ascii="宋体" w:hAnsi="宋体"/>
              </w:rPr>
            </w:pPr>
            <w:r>
              <w:rPr>
                <w:rFonts w:ascii="宋体" w:hAnsi="宋体"/>
              </w:rPr>
              <w:t>V</w:t>
            </w:r>
            <w:r>
              <w:rPr>
                <w:rFonts w:hint="eastAsia" w:ascii="宋体" w:hAnsi="宋体"/>
              </w:rPr>
              <w:t>≤</w:t>
            </w:r>
            <w:r>
              <w:rPr>
                <w:rFonts w:ascii="宋体" w:hAnsi="宋体"/>
              </w:rPr>
              <w:t>90</w:t>
            </w:r>
          </w:p>
        </w:tc>
        <w:tc>
          <w:tcPr>
            <w:tcW w:w="1671" w:type="pct"/>
            <w:vAlign w:val="center"/>
          </w:tcPr>
          <w:p w14:paraId="0E4DC1D9">
            <w:pPr>
              <w:pStyle w:val="16"/>
              <w:keepLines w:val="0"/>
              <w:widowControl w:val="0"/>
              <w:overflowPunct/>
              <w:bidi w:val="0"/>
              <w:adjustRightInd w:val="0"/>
              <w:snapToGrid w:val="0"/>
              <w:spacing w:line="360" w:lineRule="auto"/>
              <w:rPr>
                <w:rFonts w:ascii="宋体" w:hAnsi="宋体"/>
              </w:rPr>
            </w:pPr>
            <w:r>
              <w:rPr>
                <w:rFonts w:hint="eastAsia" w:ascii="宋体" w:hAnsi="宋体"/>
              </w:rPr>
              <w:t>汽油</w:t>
            </w:r>
            <w:r>
              <w:rPr>
                <w:rFonts w:ascii="宋体" w:hAnsi="宋体"/>
              </w:rPr>
              <w:t>罐</w:t>
            </w:r>
            <w:r>
              <w:rPr>
                <w:rFonts w:hint="eastAsia" w:ascii="宋体" w:hAnsi="宋体"/>
              </w:rPr>
              <w:t>≤</w:t>
            </w:r>
            <w:r>
              <w:rPr>
                <w:rFonts w:ascii="宋体" w:hAnsi="宋体"/>
              </w:rPr>
              <w:t>30，柴油罐</w:t>
            </w:r>
            <w:r>
              <w:rPr>
                <w:rFonts w:hint="eastAsia" w:ascii="宋体" w:hAnsi="宋体"/>
              </w:rPr>
              <w:t>≤</w:t>
            </w:r>
            <w:r>
              <w:rPr>
                <w:rFonts w:ascii="宋体" w:hAnsi="宋体"/>
              </w:rPr>
              <w:t>50</w:t>
            </w:r>
          </w:p>
        </w:tc>
      </w:tr>
    </w:tbl>
    <w:p w14:paraId="4E0DDBA8">
      <w:pPr>
        <w:pStyle w:val="17"/>
        <w:keepLines w:val="0"/>
        <w:widowControl w:val="0"/>
        <w:overflowPunct/>
        <w:bidi w:val="0"/>
        <w:adjustRightInd w:val="0"/>
        <w:snapToGrid w:val="0"/>
        <w:spacing w:line="360" w:lineRule="auto"/>
        <w:ind w:firstLine="436"/>
      </w:pPr>
      <w:r>
        <w:t>注：</w:t>
      </w:r>
      <w:r>
        <w:rPr>
          <w:rFonts w:hint="eastAsia"/>
        </w:rPr>
        <w:t>V为油罐总容积。</w:t>
      </w:r>
      <w:r>
        <w:t>柴油罐容积可折半计入油罐总容积。</w:t>
      </w:r>
    </w:p>
    <w:p w14:paraId="5963F198">
      <w:pPr>
        <w:pStyle w:val="13"/>
        <w:keepLines w:val="0"/>
        <w:widowControl w:val="0"/>
        <w:overflowPunct/>
        <w:bidi w:val="0"/>
        <w:adjustRightInd w:val="0"/>
        <w:snapToGrid w:val="0"/>
        <w:spacing w:line="360" w:lineRule="auto"/>
        <w:ind w:firstLine="560"/>
        <w:rPr>
          <w:rFonts w:ascii="宋体"/>
        </w:rPr>
      </w:pPr>
      <w:r>
        <w:rPr>
          <w:rFonts w:hint="eastAsia" w:ascii="宋体"/>
        </w:rPr>
        <w:t>该站现有职工</w:t>
      </w:r>
      <w:r>
        <w:rPr>
          <w:rFonts w:hint="eastAsia" w:ascii="宋体"/>
          <w:lang w:val="en-US" w:eastAsia="zh-CN"/>
        </w:rPr>
        <w:t>7</w:t>
      </w:r>
      <w:r>
        <w:rPr>
          <w:rFonts w:hint="eastAsia" w:ascii="宋体"/>
        </w:rPr>
        <w:t>人，其中主要负责人1人，安全生产管理人员1人。主要负责人和安全生产管理人员已参加了危险化学品安全管理培训，并取得考核合格证，详见附件。</w:t>
      </w:r>
    </w:p>
    <w:p w14:paraId="2F8D977F">
      <w:pPr>
        <w:pStyle w:val="13"/>
        <w:keepLines w:val="0"/>
        <w:widowControl w:val="0"/>
        <w:overflowPunct/>
        <w:bidi w:val="0"/>
        <w:adjustRightInd w:val="0"/>
        <w:snapToGrid w:val="0"/>
        <w:spacing w:line="360" w:lineRule="auto"/>
        <w:ind w:firstLine="560"/>
        <w:rPr>
          <w:rFonts w:ascii="宋体"/>
          <w:color w:val="000000" w:themeColor="text1"/>
          <w14:textFill>
            <w14:solidFill>
              <w14:schemeClr w14:val="tx1"/>
            </w14:solidFill>
          </w14:textFill>
        </w:rPr>
      </w:pPr>
      <w:r>
        <w:rPr>
          <w:rFonts w:hint="eastAsia" w:ascii="宋体"/>
          <w:color w:val="000000" w:themeColor="text1"/>
          <w:lang w:val="en-US" w:eastAsia="zh-CN"/>
          <w14:textFill>
            <w14:solidFill>
              <w14:schemeClr w14:val="tx1"/>
            </w14:solidFill>
          </w14:textFill>
        </w:rPr>
        <w:t>2010年09月30日，该站取得了土地证，编号为：新国用（2010）第0707号</w:t>
      </w:r>
      <w:r>
        <w:rPr>
          <w:rFonts w:hint="eastAsia" w:ascii="宋体"/>
          <w:color w:val="000000" w:themeColor="text1"/>
          <w14:textFill>
            <w14:solidFill>
              <w14:schemeClr w14:val="tx1"/>
            </w14:solidFill>
          </w14:textFill>
        </w:rPr>
        <w:t>，</w:t>
      </w:r>
      <w:r>
        <w:rPr>
          <w:rFonts w:hint="eastAsia" w:ascii="宋体"/>
          <w:color w:val="000000" w:themeColor="text1"/>
          <w:lang w:val="en-US" w:eastAsia="zh-CN"/>
          <w14:textFill>
            <w14:solidFill>
              <w14:schemeClr w14:val="tx1"/>
            </w14:solidFill>
          </w14:textFill>
        </w:rPr>
        <w:t>终止日期为2049年05月03日</w:t>
      </w:r>
      <w:r>
        <w:rPr>
          <w:rFonts w:hint="eastAsia" w:ascii="宋体"/>
          <w:color w:val="000000" w:themeColor="text1"/>
          <w14:textFill>
            <w14:solidFill>
              <w14:schemeClr w14:val="tx1"/>
            </w14:solidFill>
          </w14:textFill>
        </w:rPr>
        <w:t>，详见附件。</w:t>
      </w:r>
    </w:p>
    <w:p w14:paraId="50CC4D14">
      <w:pPr>
        <w:pStyle w:val="13"/>
        <w:keepLines w:val="0"/>
        <w:widowControl w:val="0"/>
        <w:overflowPunct/>
        <w:bidi w:val="0"/>
        <w:adjustRightInd w:val="0"/>
        <w:snapToGrid w:val="0"/>
        <w:spacing w:line="360" w:lineRule="auto"/>
        <w:ind w:firstLine="5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加油站于</w:t>
      </w:r>
      <w:r>
        <w:rPr>
          <w:rFonts w:hint="eastAsia" w:ascii="宋体"/>
          <w:color w:val="000000" w:themeColor="text1"/>
          <w:lang w:val="en-US" w:eastAsia="zh-CN"/>
          <w14:textFill>
            <w14:solidFill>
              <w14:schemeClr w14:val="tx1"/>
            </w14:solidFill>
          </w14:textFill>
        </w:rPr>
        <w:t>2014</w:t>
      </w:r>
      <w:r>
        <w:rPr>
          <w:rFonts w:hint="eastAsia" w:ascii="宋体"/>
          <w:color w:val="000000" w:themeColor="text1"/>
          <w14:textFill>
            <w14:solidFill>
              <w14:schemeClr w14:val="tx1"/>
            </w14:solidFill>
          </w14:textFill>
        </w:rPr>
        <w:t>年</w:t>
      </w:r>
      <w:r>
        <w:rPr>
          <w:rFonts w:hint="eastAsia" w:ascii="宋体"/>
          <w:color w:val="000000" w:themeColor="text1"/>
          <w:lang w:val="en-US" w:eastAsia="zh-CN"/>
          <w14:textFill>
            <w14:solidFill>
              <w14:schemeClr w14:val="tx1"/>
            </w14:solidFill>
          </w14:textFill>
        </w:rPr>
        <w:t>11</w:t>
      </w:r>
      <w:r>
        <w:rPr>
          <w:rFonts w:hint="eastAsia" w:ascii="宋体"/>
          <w:color w:val="000000" w:themeColor="text1"/>
          <w14:textFill>
            <w14:solidFill>
              <w14:schemeClr w14:val="tx1"/>
            </w14:solidFill>
          </w14:textFill>
        </w:rPr>
        <w:t>月</w:t>
      </w:r>
      <w:r>
        <w:rPr>
          <w:rFonts w:hint="eastAsia" w:ascii="宋体"/>
          <w:color w:val="000000" w:themeColor="text1"/>
          <w:lang w:val="en-US" w:eastAsia="zh-CN"/>
          <w14:textFill>
            <w14:solidFill>
              <w14:schemeClr w14:val="tx1"/>
            </w14:solidFill>
          </w14:textFill>
        </w:rPr>
        <w:t>14</w:t>
      </w:r>
      <w:r>
        <w:rPr>
          <w:rFonts w:hint="eastAsia" w:ascii="宋体"/>
          <w:color w:val="000000" w:themeColor="text1"/>
          <w14:textFill>
            <w14:solidFill>
              <w14:schemeClr w14:val="tx1"/>
            </w14:solidFill>
          </w14:textFill>
        </w:rPr>
        <w:t>日取得了</w:t>
      </w:r>
      <w:r>
        <w:rPr>
          <w:rFonts w:hint="eastAsia" w:ascii="宋体"/>
          <w:color w:val="000000" w:themeColor="text1"/>
          <w:lang w:val="en-US" w:eastAsia="zh-CN"/>
          <w14:textFill>
            <w14:solidFill>
              <w14:schemeClr w14:val="tx1"/>
            </w14:solidFill>
          </w14:textFill>
        </w:rPr>
        <w:t>泰安</w:t>
      </w:r>
      <w:r>
        <w:rPr>
          <w:rFonts w:hint="eastAsia" w:ascii="宋体"/>
          <w:color w:val="000000" w:themeColor="text1"/>
          <w14:textFill>
            <w14:solidFill>
              <w14:schemeClr w14:val="tx1"/>
            </w14:solidFill>
          </w14:textFill>
        </w:rPr>
        <w:t>市公安消防</w:t>
      </w:r>
      <w:r>
        <w:rPr>
          <w:rFonts w:hint="eastAsia" w:ascii="宋体"/>
          <w:color w:val="000000" w:themeColor="text1"/>
          <w:lang w:val="en-US" w:eastAsia="zh-CN"/>
          <w14:textFill>
            <w14:solidFill>
              <w14:schemeClr w14:val="tx1"/>
            </w14:solidFill>
          </w14:textFill>
        </w:rPr>
        <w:t>大队</w:t>
      </w:r>
      <w:r>
        <w:rPr>
          <w:rFonts w:hint="eastAsia" w:ascii="宋体"/>
          <w:color w:val="000000" w:themeColor="text1"/>
          <w14:textFill>
            <w14:solidFill>
              <w14:schemeClr w14:val="tx1"/>
            </w14:solidFill>
          </w14:textFill>
        </w:rPr>
        <w:t>出具的《</w:t>
      </w:r>
      <w:r>
        <w:rPr>
          <w:rFonts w:hint="eastAsia" w:ascii="宋体"/>
          <w:color w:val="000000" w:themeColor="text1"/>
          <w:lang w:val="en-US" w:eastAsia="zh-CN"/>
          <w14:textFill>
            <w14:solidFill>
              <w14:schemeClr w14:val="tx1"/>
            </w14:solidFill>
          </w14:textFill>
        </w:rPr>
        <w:t>建设工程消防验收意见书</w:t>
      </w:r>
      <w:r>
        <w:rPr>
          <w:rFonts w:hint="eastAsia" w:ascii="宋体"/>
          <w:color w:val="000000" w:themeColor="text1"/>
          <w14:textFill>
            <w14:solidFill>
              <w14:schemeClr w14:val="tx1"/>
            </w14:solidFill>
          </w14:textFill>
        </w:rPr>
        <w:t>》(</w:t>
      </w:r>
      <w:r>
        <w:rPr>
          <w:rFonts w:hint="eastAsia" w:ascii="宋体"/>
          <w:color w:val="000000" w:themeColor="text1"/>
          <w:lang w:val="en-US" w:eastAsia="zh-CN"/>
          <w14:textFill>
            <w14:solidFill>
              <w14:schemeClr w14:val="tx1"/>
            </w14:solidFill>
          </w14:textFill>
        </w:rPr>
        <w:t>编号</w:t>
      </w:r>
      <w:r>
        <w:rPr>
          <w:rFonts w:hint="eastAsia" w:ascii="宋体"/>
          <w:color w:val="000000" w:themeColor="text1"/>
          <w14:textFill>
            <w14:solidFill>
              <w14:schemeClr w14:val="tx1"/>
            </w14:solidFill>
          </w14:textFill>
        </w:rPr>
        <w:t>：</w:t>
      </w:r>
      <w:r>
        <w:rPr>
          <w:rFonts w:hint="eastAsia" w:ascii="宋体"/>
          <w:color w:val="000000" w:themeColor="text1"/>
          <w:lang w:val="en-US" w:eastAsia="zh-CN"/>
          <w14:textFill>
            <w14:solidFill>
              <w14:schemeClr w14:val="tx1"/>
            </w14:solidFill>
          </w14:textFill>
        </w:rPr>
        <w:t>泰</w:t>
      </w:r>
      <w:r>
        <w:rPr>
          <w:rFonts w:hint="eastAsia" w:ascii="宋体"/>
          <w:color w:val="000000" w:themeColor="text1"/>
          <w14:textFill>
            <w14:solidFill>
              <w14:schemeClr w14:val="tx1"/>
            </w14:solidFill>
          </w14:textFill>
        </w:rPr>
        <w:t>公消</w:t>
      </w:r>
      <w:r>
        <w:rPr>
          <w:rFonts w:hint="eastAsia" w:ascii="宋体"/>
          <w:color w:val="000000" w:themeColor="text1"/>
          <w:lang w:val="en-US" w:eastAsia="zh-CN"/>
          <w14:textFill>
            <w14:solidFill>
              <w14:schemeClr w14:val="tx1"/>
            </w14:solidFill>
          </w14:textFill>
        </w:rPr>
        <w:t>验字</w:t>
      </w:r>
      <w:r>
        <w:rPr>
          <w:rFonts w:hint="eastAsia" w:ascii="宋体"/>
          <w:color w:val="000000" w:themeColor="text1"/>
          <w14:textFill>
            <w14:solidFill>
              <w14:schemeClr w14:val="tx1"/>
            </w14:solidFill>
          </w14:textFill>
        </w:rPr>
        <w:t>[20</w:t>
      </w:r>
      <w:r>
        <w:rPr>
          <w:rFonts w:hint="eastAsia" w:ascii="宋体"/>
          <w:color w:val="000000" w:themeColor="text1"/>
          <w:lang w:val="en-US" w:eastAsia="zh-CN"/>
          <w14:textFill>
            <w14:solidFill>
              <w14:schemeClr w14:val="tx1"/>
            </w14:solidFill>
          </w14:textFill>
        </w:rPr>
        <w:t>14</w:t>
      </w:r>
      <w:r>
        <w:rPr>
          <w:rFonts w:hint="eastAsia" w:ascii="宋体"/>
          <w:color w:val="000000" w:themeColor="text1"/>
          <w14:textFill>
            <w14:solidFill>
              <w14:schemeClr w14:val="tx1"/>
            </w14:solidFill>
          </w14:textFill>
        </w:rPr>
        <w:t>]</w:t>
      </w:r>
      <w:r>
        <w:rPr>
          <w:rFonts w:hint="eastAsia" w:ascii="宋体"/>
          <w:color w:val="000000" w:themeColor="text1"/>
          <w:lang w:val="en-US" w:eastAsia="zh-CN"/>
          <w14:textFill>
            <w14:solidFill>
              <w14:schemeClr w14:val="tx1"/>
            </w14:solidFill>
          </w14:textFill>
        </w:rPr>
        <w:t>第0091</w:t>
      </w:r>
      <w:r>
        <w:rPr>
          <w:rFonts w:hint="eastAsia" w:ascii="宋体"/>
          <w:color w:val="000000" w:themeColor="text1"/>
          <w14:textFill>
            <w14:solidFill>
              <w14:schemeClr w14:val="tx1"/>
            </w14:solidFill>
          </w14:textFill>
        </w:rPr>
        <w:t>号)。详见附件。</w:t>
      </w:r>
    </w:p>
    <w:p w14:paraId="4FA8BE18">
      <w:pPr>
        <w:pStyle w:val="13"/>
        <w:keepLines w:val="0"/>
        <w:widowControl w:val="0"/>
        <w:overflowPunct/>
        <w:bidi w:val="0"/>
        <w:adjustRightInd w:val="0"/>
        <w:snapToGrid w:val="0"/>
        <w:spacing w:line="360" w:lineRule="auto"/>
        <w:ind w:firstLine="560"/>
        <w:rPr>
          <w:rFonts w:ascii="宋体"/>
        </w:rPr>
      </w:pPr>
      <w:r>
        <w:rPr>
          <w:rFonts w:hint="eastAsia" w:ascii="宋体"/>
          <w:lang w:val="en-US" w:eastAsia="zh-CN"/>
        </w:rPr>
        <w:t>由于法定代表人变更，原站</w:t>
      </w:r>
      <w:r>
        <w:rPr>
          <w:rFonts w:hint="eastAsia" w:ascii="宋体"/>
        </w:rPr>
        <w:t>于202</w:t>
      </w:r>
      <w:r>
        <w:rPr>
          <w:rFonts w:hint="eastAsia" w:ascii="宋体"/>
          <w:lang w:val="en-US" w:eastAsia="zh-CN"/>
        </w:rPr>
        <w:t>4</w:t>
      </w:r>
      <w:r>
        <w:rPr>
          <w:rFonts w:hint="eastAsia" w:ascii="宋体"/>
        </w:rPr>
        <w:t>年</w:t>
      </w:r>
      <w:r>
        <w:rPr>
          <w:rFonts w:hint="eastAsia" w:ascii="宋体"/>
          <w:lang w:val="en-US" w:eastAsia="zh-CN"/>
        </w:rPr>
        <w:t>03</w:t>
      </w:r>
      <w:r>
        <w:rPr>
          <w:rFonts w:hint="eastAsia" w:ascii="宋体"/>
        </w:rPr>
        <w:t>月</w:t>
      </w:r>
      <w:r>
        <w:rPr>
          <w:rFonts w:hint="eastAsia" w:ascii="宋体"/>
          <w:lang w:val="en-US" w:eastAsia="zh-CN"/>
        </w:rPr>
        <w:t>04</w:t>
      </w:r>
      <w:r>
        <w:rPr>
          <w:rFonts w:hint="eastAsia" w:ascii="宋体"/>
        </w:rPr>
        <w:t>日</w:t>
      </w:r>
      <w:r>
        <w:rPr>
          <w:rFonts w:hint="eastAsia" w:ascii="宋体"/>
          <w:lang w:val="en-US" w:eastAsia="zh-CN"/>
        </w:rPr>
        <w:t>变更</w:t>
      </w:r>
      <w:r>
        <w:rPr>
          <w:rFonts w:hint="eastAsia" w:ascii="宋体"/>
        </w:rPr>
        <w:t>了《成品油零售经营批准证书》，证书编号：鲁油零售证书第37090230</w:t>
      </w:r>
      <w:r>
        <w:rPr>
          <w:rFonts w:hint="eastAsia" w:ascii="宋体"/>
          <w:lang w:val="en-US" w:eastAsia="zh-CN"/>
        </w:rPr>
        <w:t>26</w:t>
      </w:r>
      <w:r>
        <w:rPr>
          <w:rFonts w:hint="eastAsia" w:ascii="宋体"/>
        </w:rPr>
        <w:t>号，证书有效期至2026年</w:t>
      </w:r>
      <w:r>
        <w:rPr>
          <w:rFonts w:hint="eastAsia" w:ascii="宋体"/>
          <w:lang w:val="en-US" w:eastAsia="zh-CN"/>
        </w:rPr>
        <w:t>01</w:t>
      </w:r>
      <w:r>
        <w:rPr>
          <w:rFonts w:hint="eastAsia" w:ascii="宋体"/>
        </w:rPr>
        <w:t>月</w:t>
      </w:r>
      <w:r>
        <w:rPr>
          <w:rFonts w:hint="eastAsia" w:ascii="宋体"/>
          <w:lang w:val="en-US" w:eastAsia="zh-CN"/>
        </w:rPr>
        <w:t>08</w:t>
      </w:r>
      <w:r>
        <w:rPr>
          <w:rFonts w:hint="eastAsia" w:ascii="宋体"/>
        </w:rPr>
        <w:t>日，证书见附件</w:t>
      </w:r>
      <w:r>
        <w:rPr>
          <w:rFonts w:hint="eastAsia" w:ascii="宋体"/>
          <w:lang w:eastAsia="zh-CN"/>
        </w:rPr>
        <w:t>；</w:t>
      </w:r>
      <w:r>
        <w:rPr>
          <w:rFonts w:hint="eastAsia" w:ascii="宋体"/>
        </w:rPr>
        <w:t>于202</w:t>
      </w:r>
      <w:r>
        <w:rPr>
          <w:rFonts w:hint="eastAsia" w:ascii="宋体"/>
          <w:lang w:val="en-US" w:eastAsia="zh-CN"/>
        </w:rPr>
        <w:t>4</w:t>
      </w:r>
      <w:r>
        <w:rPr>
          <w:rFonts w:hint="eastAsia" w:ascii="宋体"/>
        </w:rPr>
        <w:t>年</w:t>
      </w:r>
      <w:r>
        <w:rPr>
          <w:rFonts w:hint="eastAsia" w:ascii="宋体"/>
          <w:lang w:val="en-US" w:eastAsia="zh-CN"/>
        </w:rPr>
        <w:t>02</w:t>
      </w:r>
      <w:r>
        <w:rPr>
          <w:rFonts w:hint="eastAsia" w:ascii="宋体"/>
        </w:rPr>
        <w:t>月</w:t>
      </w:r>
      <w:r>
        <w:rPr>
          <w:rFonts w:hint="eastAsia" w:ascii="宋体"/>
          <w:lang w:val="en-US" w:eastAsia="zh-CN"/>
        </w:rPr>
        <w:t>05</w:t>
      </w:r>
      <w:r>
        <w:rPr>
          <w:rFonts w:hint="eastAsia" w:ascii="宋体"/>
        </w:rPr>
        <w:t>日</w:t>
      </w:r>
      <w:r>
        <w:rPr>
          <w:rFonts w:hint="eastAsia" w:ascii="宋体"/>
          <w:lang w:val="en-US" w:eastAsia="zh-CN"/>
        </w:rPr>
        <w:t>变更</w:t>
      </w:r>
      <w:r>
        <w:rPr>
          <w:rFonts w:hint="eastAsia" w:ascii="宋体"/>
        </w:rPr>
        <w:t>了《危险化学品经营许可证》，证书编号：鲁泰危化经[202</w:t>
      </w:r>
      <w:r>
        <w:rPr>
          <w:rFonts w:hint="eastAsia" w:ascii="宋体"/>
          <w:lang w:val="en-US" w:eastAsia="zh-CN"/>
        </w:rPr>
        <w:t>4</w:t>
      </w:r>
      <w:r>
        <w:rPr>
          <w:rFonts w:hint="eastAsia" w:ascii="宋体"/>
        </w:rPr>
        <w:t>]</w:t>
      </w:r>
      <w:r>
        <w:rPr>
          <w:rFonts w:hint="eastAsia" w:ascii="宋体"/>
          <w:lang w:val="en-US" w:eastAsia="zh-CN"/>
        </w:rPr>
        <w:t>030010</w:t>
      </w:r>
      <w:r>
        <w:rPr>
          <w:rFonts w:hint="eastAsia" w:ascii="宋体"/>
        </w:rPr>
        <w:t>号，证书有效期至202</w:t>
      </w:r>
      <w:r>
        <w:rPr>
          <w:rFonts w:hint="eastAsia" w:ascii="宋体"/>
          <w:lang w:val="en-US" w:eastAsia="zh-CN"/>
        </w:rPr>
        <w:t>7</w:t>
      </w:r>
      <w:r>
        <w:rPr>
          <w:rFonts w:hint="eastAsia" w:ascii="宋体"/>
        </w:rPr>
        <w:t>年</w:t>
      </w:r>
      <w:r>
        <w:rPr>
          <w:rFonts w:hint="eastAsia" w:ascii="宋体"/>
          <w:lang w:val="en-US" w:eastAsia="zh-CN"/>
        </w:rPr>
        <w:t>02</w:t>
      </w:r>
      <w:r>
        <w:rPr>
          <w:rFonts w:hint="eastAsia" w:ascii="宋体"/>
        </w:rPr>
        <w:t>月</w:t>
      </w:r>
      <w:r>
        <w:rPr>
          <w:rFonts w:hint="eastAsia" w:ascii="宋体"/>
          <w:lang w:val="en-US" w:eastAsia="zh-CN"/>
        </w:rPr>
        <w:t>12</w:t>
      </w:r>
      <w:r>
        <w:rPr>
          <w:rFonts w:hint="eastAsia" w:ascii="宋体"/>
        </w:rPr>
        <w:t>日，证书见附件。</w:t>
      </w:r>
    </w:p>
    <w:p w14:paraId="586055AF">
      <w:pPr>
        <w:pStyle w:val="13"/>
        <w:keepLines w:val="0"/>
        <w:widowControl w:val="0"/>
        <w:overflowPunct/>
        <w:bidi w:val="0"/>
        <w:adjustRightInd w:val="0"/>
        <w:snapToGrid w:val="0"/>
        <w:spacing w:line="360" w:lineRule="auto"/>
        <w:ind w:firstLine="5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该站在中国人民财产保险股份有限公司投保了安全生产责任保险，保险期限为2024年</w:t>
      </w:r>
      <w:r>
        <w:rPr>
          <w:rFonts w:hint="eastAsia" w:ascii="宋体"/>
          <w:color w:val="000000" w:themeColor="text1"/>
          <w:lang w:val="en-US" w:eastAsia="zh-CN"/>
          <w14:textFill>
            <w14:solidFill>
              <w14:schemeClr w14:val="tx1"/>
            </w14:solidFill>
          </w14:textFill>
        </w:rPr>
        <w:t>07</w:t>
      </w:r>
      <w:r>
        <w:rPr>
          <w:rFonts w:hint="eastAsia" w:ascii="宋体"/>
          <w:color w:val="000000" w:themeColor="text1"/>
          <w14:textFill>
            <w14:solidFill>
              <w14:schemeClr w14:val="tx1"/>
            </w14:solidFill>
          </w14:textFill>
        </w:rPr>
        <w:t>月</w:t>
      </w:r>
      <w:r>
        <w:rPr>
          <w:rFonts w:hint="eastAsia" w:ascii="宋体"/>
          <w:color w:val="000000" w:themeColor="text1"/>
          <w:lang w:val="en-US" w:eastAsia="zh-CN"/>
          <w14:textFill>
            <w14:solidFill>
              <w14:schemeClr w14:val="tx1"/>
            </w14:solidFill>
          </w14:textFill>
        </w:rPr>
        <w:t>05</w:t>
      </w:r>
      <w:r>
        <w:rPr>
          <w:rFonts w:hint="eastAsia" w:ascii="宋体"/>
          <w:color w:val="000000" w:themeColor="text1"/>
          <w14:textFill>
            <w14:solidFill>
              <w14:schemeClr w14:val="tx1"/>
            </w14:solidFill>
          </w14:textFill>
        </w:rPr>
        <w:t>日</w:t>
      </w:r>
      <w:r>
        <w:rPr>
          <w:rFonts w:hint="eastAsia" w:ascii="宋体"/>
          <w:color w:val="000000" w:themeColor="text1"/>
          <w:lang w:val="en-US" w:eastAsia="zh-CN"/>
          <w14:textFill>
            <w14:solidFill>
              <w14:schemeClr w14:val="tx1"/>
            </w14:solidFill>
          </w14:textFill>
        </w:rPr>
        <w:t>零时</w:t>
      </w:r>
      <w:r>
        <w:rPr>
          <w:rFonts w:hint="eastAsia" w:ascii="宋体"/>
          <w:color w:val="000000" w:themeColor="text1"/>
          <w14:textFill>
            <w14:solidFill>
              <w14:schemeClr w14:val="tx1"/>
            </w14:solidFill>
          </w14:textFill>
        </w:rPr>
        <w:t>至2025年</w:t>
      </w:r>
      <w:r>
        <w:rPr>
          <w:rFonts w:hint="eastAsia" w:ascii="宋体"/>
          <w:color w:val="000000" w:themeColor="text1"/>
          <w:lang w:val="en-US" w:eastAsia="zh-CN"/>
          <w14:textFill>
            <w14:solidFill>
              <w14:schemeClr w14:val="tx1"/>
            </w14:solidFill>
          </w14:textFill>
        </w:rPr>
        <w:t>07</w:t>
      </w:r>
      <w:r>
        <w:rPr>
          <w:rFonts w:hint="eastAsia" w:ascii="宋体"/>
          <w:color w:val="000000" w:themeColor="text1"/>
          <w14:textFill>
            <w14:solidFill>
              <w14:schemeClr w14:val="tx1"/>
            </w14:solidFill>
          </w14:textFill>
        </w:rPr>
        <w:t>月</w:t>
      </w:r>
      <w:r>
        <w:rPr>
          <w:rFonts w:hint="eastAsia" w:ascii="宋体"/>
          <w:color w:val="000000" w:themeColor="text1"/>
          <w:lang w:val="en-US" w:eastAsia="zh-CN"/>
          <w14:textFill>
            <w14:solidFill>
              <w14:schemeClr w14:val="tx1"/>
            </w14:solidFill>
          </w14:textFill>
        </w:rPr>
        <w:t>04</w:t>
      </w:r>
      <w:r>
        <w:rPr>
          <w:rFonts w:hint="eastAsia" w:ascii="宋体"/>
          <w:color w:val="000000" w:themeColor="text1"/>
          <w14:textFill>
            <w14:solidFill>
              <w14:schemeClr w14:val="tx1"/>
            </w14:solidFill>
          </w14:textFill>
        </w:rPr>
        <w:t>日</w:t>
      </w:r>
      <w:r>
        <w:rPr>
          <w:rFonts w:hint="eastAsia" w:ascii="宋体"/>
          <w:color w:val="000000" w:themeColor="text1"/>
          <w:lang w:val="en-US" w:eastAsia="zh-CN"/>
          <w14:textFill>
            <w14:solidFill>
              <w14:schemeClr w14:val="tx1"/>
            </w14:solidFill>
          </w14:textFill>
        </w:rPr>
        <w:t>二十四时</w:t>
      </w:r>
      <w:r>
        <w:rPr>
          <w:rFonts w:hint="eastAsia" w:ascii="宋体"/>
          <w:color w:val="000000" w:themeColor="text1"/>
          <w14:textFill>
            <w14:solidFill>
              <w14:schemeClr w14:val="tx1"/>
            </w14:solidFill>
          </w14:textFill>
        </w:rPr>
        <w:t>，详见附件。</w:t>
      </w:r>
    </w:p>
    <w:p w14:paraId="2E974316">
      <w:pPr>
        <w:pStyle w:val="13"/>
        <w:keepLines w:val="0"/>
        <w:widowControl w:val="0"/>
        <w:overflowPunct/>
        <w:bidi w:val="0"/>
        <w:adjustRightInd w:val="0"/>
        <w:snapToGrid w:val="0"/>
        <w:spacing w:line="360" w:lineRule="auto"/>
        <w:ind w:firstLine="560"/>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2024年</w:t>
      </w:r>
      <w:r>
        <w:rPr>
          <w:rFonts w:hint="eastAsia" w:ascii="宋体"/>
          <w:color w:val="000000" w:themeColor="text1"/>
          <w:lang w:val="en-US" w:eastAsia="zh-CN"/>
          <w14:textFill>
            <w14:solidFill>
              <w14:schemeClr w14:val="tx1"/>
            </w14:solidFill>
          </w14:textFill>
        </w:rPr>
        <w:t>10</w:t>
      </w:r>
      <w:r>
        <w:rPr>
          <w:rFonts w:hint="eastAsia" w:ascii="宋体"/>
          <w:color w:val="000000" w:themeColor="text1"/>
          <w14:textFill>
            <w14:solidFill>
              <w14:schemeClr w14:val="tx1"/>
            </w14:solidFill>
          </w14:textFill>
        </w:rPr>
        <w:t>月</w:t>
      </w:r>
      <w:r>
        <w:rPr>
          <w:rFonts w:hint="eastAsia" w:ascii="宋体"/>
          <w:color w:val="000000" w:themeColor="text1"/>
          <w:lang w:val="en-US" w:eastAsia="zh-CN"/>
          <w14:textFill>
            <w14:solidFill>
              <w14:schemeClr w14:val="tx1"/>
            </w14:solidFill>
          </w14:textFill>
        </w:rPr>
        <w:t>30</w:t>
      </w:r>
      <w:r>
        <w:rPr>
          <w:rFonts w:hint="eastAsia" w:ascii="宋体"/>
          <w:color w:val="000000" w:themeColor="text1"/>
          <w14:textFill>
            <w14:solidFill>
              <w14:schemeClr w14:val="tx1"/>
            </w14:solidFill>
          </w14:textFill>
        </w:rPr>
        <w:t>日，山东泰吉检测技术有限公司对该站进行了相关防雷设施的检测，出具了合格的《雷电防护装置定期检测报告》，报告编号：</w:t>
      </w:r>
      <w:r>
        <w:rPr>
          <w:rFonts w:hint="eastAsia" w:ascii="宋体"/>
          <w:color w:val="000000" w:themeColor="text1"/>
          <w:lang w:val="en-US" w:eastAsia="zh-CN"/>
          <w14:textFill>
            <w14:solidFill>
              <w14:schemeClr w14:val="tx1"/>
            </w14:solidFill>
          </w14:textFill>
        </w:rPr>
        <w:t>泰吉雷检字</w:t>
      </w:r>
      <w:r>
        <w:rPr>
          <w:rFonts w:hint="eastAsia" w:ascii="宋体"/>
          <w:color w:val="000000" w:themeColor="text1"/>
          <w14:textFill>
            <w14:solidFill>
              <w14:schemeClr w14:val="tx1"/>
            </w14:solidFill>
          </w14:textFill>
        </w:rPr>
        <w:t>[2024]</w:t>
      </w:r>
      <w:r>
        <w:rPr>
          <w:rFonts w:hint="eastAsia" w:ascii="宋体"/>
          <w:color w:val="000000" w:themeColor="text1"/>
          <w:lang w:val="en-US" w:eastAsia="zh-CN"/>
          <w14:textFill>
            <w14:solidFill>
              <w14:schemeClr w14:val="tx1"/>
            </w14:solidFill>
          </w14:textFill>
        </w:rPr>
        <w:t>XTWH</w:t>
      </w:r>
      <w:r>
        <w:rPr>
          <w:rFonts w:hint="eastAsia" w:ascii="宋体"/>
          <w:color w:val="000000" w:themeColor="text1"/>
          <w14:textFill>
            <w14:solidFill>
              <w14:schemeClr w14:val="tx1"/>
            </w14:solidFill>
          </w14:textFill>
        </w:rPr>
        <w:t>-</w:t>
      </w:r>
      <w:r>
        <w:rPr>
          <w:rFonts w:hint="eastAsia" w:ascii="宋体"/>
          <w:color w:val="000000" w:themeColor="text1"/>
          <w:lang w:val="en-US" w:eastAsia="zh-CN"/>
          <w14:textFill>
            <w14:solidFill>
              <w14:schemeClr w14:val="tx1"/>
            </w14:solidFill>
          </w14:textFill>
        </w:rPr>
        <w:t>154</w:t>
      </w:r>
      <w:r>
        <w:rPr>
          <w:rFonts w:hint="eastAsia" w:ascii="宋体"/>
          <w:color w:val="000000" w:themeColor="text1"/>
          <w14:textFill>
            <w14:solidFill>
              <w14:schemeClr w14:val="tx1"/>
            </w14:solidFill>
          </w14:textFill>
        </w:rPr>
        <w:t>号，结论为“合格</w:t>
      </w:r>
      <w:r>
        <w:rPr>
          <w:rFonts w:hint="eastAsia" w:ascii="宋体"/>
          <w:color w:val="000000" w:themeColor="text1"/>
          <w:lang w:eastAsia="zh-CN"/>
          <w14:textFill>
            <w14:solidFill>
              <w14:schemeClr w14:val="tx1"/>
            </w14:solidFill>
          </w14:textFill>
        </w:rPr>
        <w:t>：</w:t>
      </w:r>
      <w:r>
        <w:rPr>
          <w:rFonts w:hint="eastAsia" w:ascii="宋体"/>
          <w:color w:val="000000" w:themeColor="text1"/>
          <w14:textFill>
            <w14:solidFill>
              <w14:schemeClr w14:val="tx1"/>
            </w14:solidFill>
          </w14:textFill>
        </w:rPr>
        <w:t>防雷装置符合现行国家防雷规范标准要求”，</w:t>
      </w:r>
      <w:r>
        <w:rPr>
          <w:rFonts w:hint="eastAsia" w:ascii="宋体"/>
          <w:color w:val="000000" w:themeColor="text1"/>
          <w:lang w:val="en-US" w:eastAsia="zh-CN"/>
          <w14:textFill>
            <w14:solidFill>
              <w14:schemeClr w14:val="tx1"/>
            </w14:solidFill>
          </w14:textFill>
        </w:rPr>
        <w:t>报告有效期至</w:t>
      </w:r>
      <w:r>
        <w:rPr>
          <w:rFonts w:hint="eastAsia" w:ascii="宋体"/>
          <w:color w:val="000000" w:themeColor="text1"/>
          <w14:textFill>
            <w14:solidFill>
              <w14:schemeClr w14:val="tx1"/>
            </w14:solidFill>
          </w14:textFill>
        </w:rPr>
        <w:t>2025年</w:t>
      </w:r>
      <w:r>
        <w:rPr>
          <w:rFonts w:hint="eastAsia" w:ascii="宋体"/>
          <w:color w:val="000000" w:themeColor="text1"/>
          <w:lang w:val="en-US" w:eastAsia="zh-CN"/>
          <w14:textFill>
            <w14:solidFill>
              <w14:schemeClr w14:val="tx1"/>
            </w14:solidFill>
          </w14:textFill>
        </w:rPr>
        <w:t>05</w:t>
      </w:r>
      <w:r>
        <w:rPr>
          <w:rFonts w:hint="eastAsia" w:ascii="宋体"/>
          <w:color w:val="000000" w:themeColor="text1"/>
          <w14:textFill>
            <w14:solidFill>
              <w14:schemeClr w14:val="tx1"/>
            </w14:solidFill>
          </w14:textFill>
        </w:rPr>
        <w:t>月</w:t>
      </w:r>
      <w:r>
        <w:rPr>
          <w:rFonts w:hint="eastAsia" w:ascii="宋体"/>
          <w:color w:val="000000" w:themeColor="text1"/>
          <w:lang w:val="en-US" w:eastAsia="zh-CN"/>
          <w14:textFill>
            <w14:solidFill>
              <w14:schemeClr w14:val="tx1"/>
            </w14:solidFill>
          </w14:textFill>
        </w:rPr>
        <w:t>20</w:t>
      </w:r>
      <w:r>
        <w:rPr>
          <w:rFonts w:hint="eastAsia" w:ascii="宋体"/>
          <w:color w:val="000000" w:themeColor="text1"/>
          <w14:textFill>
            <w14:solidFill>
              <w14:schemeClr w14:val="tx1"/>
            </w14:solidFill>
          </w14:textFill>
        </w:rPr>
        <w:t>日，检测报告见附件。</w:t>
      </w:r>
    </w:p>
    <w:p w14:paraId="17D58FD7">
      <w:pPr>
        <w:pStyle w:val="13"/>
        <w:keepLines w:val="0"/>
        <w:widowControl w:val="0"/>
        <w:overflowPunct/>
        <w:bidi w:val="0"/>
        <w:adjustRightInd w:val="0"/>
        <w:snapToGrid w:val="0"/>
        <w:spacing w:line="360" w:lineRule="auto"/>
        <w:ind w:firstLine="5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该站编制了生产安全事故应急预案，于</w:t>
      </w:r>
      <w:r>
        <w:rPr>
          <w:rFonts w:hint="eastAsia" w:ascii="宋体"/>
          <w:color w:val="000000" w:themeColor="text1"/>
          <w:lang w:val="en-US" w:eastAsia="zh-CN"/>
          <w14:textFill>
            <w14:solidFill>
              <w14:schemeClr w14:val="tx1"/>
            </w14:solidFill>
          </w14:textFill>
        </w:rPr>
        <w:t>2025</w:t>
      </w:r>
      <w:r>
        <w:rPr>
          <w:rFonts w:hint="eastAsia" w:ascii="宋体"/>
          <w:color w:val="000000" w:themeColor="text1"/>
          <w14:textFill>
            <w14:solidFill>
              <w14:schemeClr w14:val="tx1"/>
            </w14:solidFill>
          </w14:textFill>
        </w:rPr>
        <w:t>年</w:t>
      </w:r>
      <w:r>
        <w:rPr>
          <w:rFonts w:hint="eastAsia" w:ascii="宋体"/>
          <w:color w:val="000000" w:themeColor="text1"/>
          <w:lang w:val="en-US" w:eastAsia="zh-CN"/>
          <w14:textFill>
            <w14:solidFill>
              <w14:schemeClr w14:val="tx1"/>
            </w14:solidFill>
          </w14:textFill>
        </w:rPr>
        <w:t>1</w:t>
      </w:r>
      <w:r>
        <w:rPr>
          <w:rFonts w:hint="eastAsia" w:ascii="宋体"/>
          <w:color w:val="000000" w:themeColor="text1"/>
          <w14:textFill>
            <w14:solidFill>
              <w14:schemeClr w14:val="tx1"/>
            </w14:solidFill>
          </w14:textFill>
        </w:rPr>
        <w:t>月</w:t>
      </w:r>
      <w:r>
        <w:rPr>
          <w:rFonts w:hint="eastAsia" w:ascii="宋体"/>
          <w:color w:val="000000" w:themeColor="text1"/>
          <w:lang w:val="en-US" w:eastAsia="zh-CN"/>
          <w14:textFill>
            <w14:solidFill>
              <w14:schemeClr w14:val="tx1"/>
            </w14:solidFill>
          </w14:textFill>
        </w:rPr>
        <w:t>8</w:t>
      </w:r>
      <w:r>
        <w:rPr>
          <w:rFonts w:hint="eastAsia" w:ascii="宋体"/>
          <w:color w:val="000000" w:themeColor="text1"/>
          <w14:textFill>
            <w14:solidFill>
              <w14:schemeClr w14:val="tx1"/>
            </w14:solidFill>
          </w14:textFill>
        </w:rPr>
        <w:t>日在</w:t>
      </w:r>
      <w:r>
        <w:rPr>
          <w:rFonts w:hint="eastAsia" w:ascii="宋体"/>
          <w:color w:val="000000" w:themeColor="text1"/>
          <w:lang w:val="en-US" w:eastAsia="zh-CN"/>
          <w14:textFill>
            <w14:solidFill>
              <w14:schemeClr w14:val="tx1"/>
            </w14:solidFill>
          </w14:textFill>
        </w:rPr>
        <w:t>新泰市</w:t>
      </w:r>
      <w:r>
        <w:rPr>
          <w:rFonts w:hint="eastAsia" w:ascii="宋体"/>
          <w:color w:val="000000" w:themeColor="text1"/>
          <w14:textFill>
            <w14:solidFill>
              <w14:schemeClr w14:val="tx1"/>
            </w14:solidFill>
          </w14:textFill>
        </w:rPr>
        <w:t>应急管理局进行了备案，备案编号为：3709</w:t>
      </w:r>
      <w:r>
        <w:rPr>
          <w:rFonts w:hint="eastAsia" w:ascii="宋体"/>
          <w:color w:val="000000" w:themeColor="text1"/>
          <w:lang w:val="en-US" w:eastAsia="zh-CN"/>
          <w14:textFill>
            <w14:solidFill>
              <w14:schemeClr w14:val="tx1"/>
            </w14:solidFill>
          </w14:textFill>
        </w:rPr>
        <w:t>82</w:t>
      </w:r>
      <w:r>
        <w:rPr>
          <w:rFonts w:hint="eastAsia" w:ascii="宋体"/>
          <w:color w:val="000000" w:themeColor="text1"/>
          <w14:textFill>
            <w14:solidFill>
              <w14:schemeClr w14:val="tx1"/>
            </w14:solidFill>
          </w14:textFill>
        </w:rPr>
        <w:t>-202</w:t>
      </w:r>
      <w:r>
        <w:rPr>
          <w:rFonts w:hint="eastAsia" w:ascii="宋体"/>
          <w:color w:val="000000" w:themeColor="text1"/>
          <w:lang w:val="en-US" w:eastAsia="zh-CN"/>
          <w14:textFill>
            <w14:solidFill>
              <w14:schemeClr w14:val="tx1"/>
            </w14:solidFill>
          </w14:textFill>
        </w:rPr>
        <w:t>5</w:t>
      </w:r>
      <w:r>
        <w:rPr>
          <w:rFonts w:hint="eastAsia" w:ascii="宋体"/>
          <w:color w:val="000000" w:themeColor="text1"/>
          <w14:textFill>
            <w14:solidFill>
              <w14:schemeClr w14:val="tx1"/>
            </w14:solidFill>
          </w14:textFill>
        </w:rPr>
        <w:t>-</w:t>
      </w:r>
      <w:r>
        <w:rPr>
          <w:rFonts w:hint="eastAsia" w:ascii="宋体"/>
          <w:color w:val="000000" w:themeColor="text1"/>
          <w:lang w:val="en-US" w:eastAsia="zh-CN"/>
          <w14:textFill>
            <w14:solidFill>
              <w14:schemeClr w14:val="tx1"/>
            </w14:solidFill>
          </w14:textFill>
        </w:rPr>
        <w:t>0003</w:t>
      </w:r>
      <w:r>
        <w:rPr>
          <w:rFonts w:hint="eastAsia" w:ascii="宋体"/>
          <w:color w:val="000000" w:themeColor="text1"/>
          <w14:textFill>
            <w14:solidFill>
              <w14:schemeClr w14:val="tx1"/>
            </w14:solidFill>
          </w14:textFill>
        </w:rPr>
        <w:t>，详见附件。</w:t>
      </w:r>
    </w:p>
    <w:p w14:paraId="191D253E">
      <w:pPr>
        <w:pStyle w:val="13"/>
        <w:keepLines w:val="0"/>
        <w:widowControl w:val="0"/>
        <w:overflowPunct/>
        <w:bidi w:val="0"/>
        <w:adjustRightInd w:val="0"/>
        <w:snapToGrid w:val="0"/>
        <w:spacing w:line="360" w:lineRule="auto"/>
        <w:ind w:firstLine="560"/>
        <w:rPr>
          <w:rFonts w:hint="default" w:ascii="宋体"/>
          <w:lang w:val="en-US" w:eastAsia="zh-CN"/>
        </w:rPr>
      </w:pPr>
      <w:r>
        <w:rPr>
          <w:rFonts w:hint="eastAsia" w:ascii="宋体"/>
          <w:lang w:val="en-US" w:eastAsia="zh-CN"/>
        </w:rPr>
        <w:t>2025年01月12日，济南艾林希电子科技有限公司对该站的可燃气体探测器进行了检验，并出具了检验报告，报告编号为202501016～202501017，测试结果为合格，检测报告见附件。</w:t>
      </w:r>
    </w:p>
    <w:p w14:paraId="023FE17A">
      <w:pPr>
        <w:pStyle w:val="13"/>
        <w:keepLines w:val="0"/>
        <w:widowControl w:val="0"/>
        <w:overflowPunct/>
        <w:bidi w:val="0"/>
        <w:adjustRightInd w:val="0"/>
        <w:snapToGrid w:val="0"/>
        <w:spacing w:line="360" w:lineRule="auto"/>
        <w:ind w:firstLine="560"/>
        <w:rPr>
          <w:rFonts w:ascii="宋体"/>
        </w:rPr>
      </w:pPr>
      <w:r>
        <w:rPr>
          <w:rFonts w:hint="eastAsia" w:ascii="宋体"/>
        </w:rPr>
        <w:t>该站建立健全了安全生产责任制、安全生产规章制度和安全操作规程，执行情况较好。</w:t>
      </w:r>
    </w:p>
    <w:p w14:paraId="43EA7BA7">
      <w:pPr>
        <w:pStyle w:val="13"/>
        <w:keepLines w:val="0"/>
        <w:widowControl w:val="0"/>
        <w:overflowPunct/>
        <w:bidi w:val="0"/>
        <w:adjustRightInd w:val="0"/>
        <w:snapToGrid w:val="0"/>
        <w:spacing w:line="360" w:lineRule="auto"/>
        <w:ind w:firstLine="560"/>
        <w:rPr>
          <w:rFonts w:ascii="宋体"/>
        </w:rPr>
      </w:pPr>
      <w:r>
        <w:rPr>
          <w:rFonts w:hint="eastAsia" w:ascii="宋体"/>
        </w:rPr>
        <w:t>该站各项安全管理制度基本健全，有生产经营单位生产事故应急预案，并定期进行应急救援演练。该加油站消防器材配备齐全，加油站配备了35kg推车式干粉灭火器</w:t>
      </w:r>
      <w:r>
        <w:rPr>
          <w:rFonts w:hint="eastAsia" w:ascii="宋体"/>
          <w:lang w:val="en-US" w:eastAsia="zh-CN"/>
        </w:rPr>
        <w:t>2</w:t>
      </w:r>
      <w:r>
        <w:rPr>
          <w:rFonts w:hint="eastAsia" w:ascii="宋体"/>
        </w:rPr>
        <w:t>具，</w:t>
      </w:r>
      <w:r>
        <w:rPr>
          <w:rFonts w:hint="eastAsia" w:ascii="宋体"/>
          <w:lang w:val="en-US" w:eastAsia="zh-CN"/>
        </w:rPr>
        <w:t>8</w:t>
      </w:r>
      <w:r>
        <w:rPr>
          <w:rFonts w:hint="eastAsia" w:ascii="宋体"/>
        </w:rPr>
        <w:t>kg手提式干粉灭火器</w:t>
      </w:r>
      <w:r>
        <w:rPr>
          <w:rFonts w:hint="eastAsia" w:ascii="宋体"/>
          <w:lang w:val="en-US" w:eastAsia="zh-CN"/>
        </w:rPr>
        <w:t>14</w:t>
      </w:r>
      <w:r>
        <w:rPr>
          <w:rFonts w:hint="eastAsia" w:ascii="宋体"/>
        </w:rPr>
        <w:t>具，CO</w:t>
      </w:r>
      <w:r>
        <w:rPr>
          <w:rFonts w:hint="eastAsia" w:ascii="宋体"/>
          <w:vertAlign w:val="subscript"/>
        </w:rPr>
        <w:t>2</w:t>
      </w:r>
      <w:r>
        <w:rPr>
          <w:rFonts w:hint="eastAsia" w:ascii="宋体"/>
        </w:rPr>
        <w:t>灭火器</w:t>
      </w:r>
      <w:r>
        <w:rPr>
          <w:rFonts w:hint="eastAsia" w:ascii="宋体"/>
          <w:lang w:val="en-US" w:eastAsia="zh-CN"/>
        </w:rPr>
        <w:t>2</w:t>
      </w:r>
      <w:r>
        <w:rPr>
          <w:rFonts w:hint="eastAsia" w:ascii="宋体"/>
        </w:rPr>
        <w:t>具，灭火毯</w:t>
      </w:r>
      <w:r>
        <w:rPr>
          <w:rFonts w:hint="eastAsia" w:ascii="宋体"/>
          <w:lang w:val="en-US" w:eastAsia="zh-CN"/>
        </w:rPr>
        <w:t>8</w:t>
      </w:r>
      <w:r>
        <w:rPr>
          <w:rFonts w:hint="eastAsia" w:ascii="宋体"/>
        </w:rPr>
        <w:t>块，消防锨4把，消防桶</w:t>
      </w:r>
      <w:r>
        <w:rPr>
          <w:rFonts w:hint="eastAsia" w:ascii="宋体"/>
          <w:lang w:val="en-US" w:eastAsia="zh-CN"/>
        </w:rPr>
        <w:t>4</w:t>
      </w:r>
      <w:r>
        <w:rPr>
          <w:rFonts w:hint="eastAsia" w:ascii="宋体"/>
        </w:rPr>
        <w:t>个，消防沙池2m</w:t>
      </w:r>
      <w:r>
        <w:rPr>
          <w:rFonts w:hint="eastAsia" w:ascii="宋体"/>
          <w:vertAlign w:val="superscript"/>
        </w:rPr>
        <w:t>3</w:t>
      </w:r>
      <w:r>
        <w:rPr>
          <w:rFonts w:hint="eastAsia" w:ascii="宋体"/>
        </w:rPr>
        <w:t>。</w:t>
      </w:r>
    </w:p>
    <w:p w14:paraId="31CF3BA2">
      <w:pPr>
        <w:pStyle w:val="13"/>
        <w:widowControl w:val="0"/>
        <w:adjustRightInd w:val="0"/>
        <w:snapToGrid w:val="0"/>
        <w:spacing w:line="360" w:lineRule="auto"/>
        <w:ind w:firstLine="560"/>
        <w:rPr>
          <w:rFonts w:ascii="宋体"/>
          <w:color w:val="auto"/>
        </w:rPr>
      </w:pPr>
      <w:r>
        <w:rPr>
          <w:rFonts w:hint="eastAsia" w:ascii="宋体"/>
        </w:rPr>
        <w:t>该加油站按功能分区布置，有油罐区、加油区、站房</w:t>
      </w:r>
      <w:r>
        <w:rPr>
          <w:rFonts w:hint="eastAsia" w:ascii="宋体"/>
          <w:lang w:eastAsia="zh-CN"/>
        </w:rPr>
        <w:t>、</w:t>
      </w:r>
      <w:r>
        <w:rPr>
          <w:rFonts w:hint="eastAsia" w:ascii="宋体"/>
          <w:lang w:val="en-US" w:eastAsia="zh-CN"/>
        </w:rPr>
        <w:t>洗车区</w:t>
      </w:r>
      <w:r>
        <w:rPr>
          <w:rFonts w:hint="eastAsia" w:ascii="宋体"/>
        </w:rPr>
        <w:t>，布置较合理</w:t>
      </w:r>
      <w:r>
        <w:rPr>
          <w:rFonts w:hint="eastAsia" w:ascii="宋体"/>
          <w:color w:val="auto"/>
        </w:rPr>
        <w:t>。</w:t>
      </w:r>
    </w:p>
    <w:p w14:paraId="04920B1F">
      <w:pPr>
        <w:pStyle w:val="14"/>
        <w:keepNext w:val="0"/>
        <w:keepLines w:val="0"/>
        <w:widowControl w:val="0"/>
        <w:kinsoku/>
        <w:wordWrap/>
        <w:overflowPunct/>
        <w:topLinePunct w:val="0"/>
        <w:autoSpaceDE/>
        <w:autoSpaceDN/>
        <w:bidi w:val="0"/>
        <w:adjustRightInd w:val="0"/>
        <w:snapToGrid w:val="0"/>
        <w:spacing w:before="468" w:beforeLines="150" w:after="156" w:afterLines="50" w:line="360" w:lineRule="auto"/>
        <w:ind w:firstLine="0"/>
        <w:textAlignment w:val="auto"/>
      </w:pPr>
      <w:bookmarkStart w:id="14" w:name="_Toc102634406"/>
      <w:bookmarkStart w:id="15" w:name="_Toc102633980"/>
      <w:bookmarkStart w:id="16" w:name="_Toc102633906"/>
      <w:bookmarkStart w:id="17" w:name="_Toc102634255"/>
      <w:r>
        <w:t>第四章 评价单元划分与评价方法选择</w:t>
      </w:r>
      <w:bookmarkEnd w:id="14"/>
      <w:bookmarkEnd w:id="15"/>
      <w:bookmarkEnd w:id="16"/>
      <w:bookmarkEnd w:id="17"/>
    </w:p>
    <w:p w14:paraId="78D0D63A">
      <w:pPr>
        <w:keepNext w:val="0"/>
        <w:keepLines w:val="0"/>
        <w:widowControl w:val="0"/>
        <w:kinsoku/>
        <w:wordWrap/>
        <w:overflowPunct/>
        <w:topLinePunct w:val="0"/>
        <w:autoSpaceDE/>
        <w:autoSpaceDN/>
        <w:bidi w:val="0"/>
        <w:adjustRightInd w:val="0"/>
        <w:snapToGrid w:val="0"/>
        <w:spacing w:line="360" w:lineRule="auto"/>
        <w:ind w:firstLine="0"/>
        <w:jc w:val="center"/>
        <w:textAlignment w:val="auto"/>
        <w:outlineLvl w:val="1"/>
        <w:rPr>
          <w:rFonts w:ascii="Calibri" w:hAnsi="Calibri" w:eastAsia="楷体_GB2312"/>
          <w:b/>
          <w:kern w:val="0"/>
          <w:sz w:val="32"/>
          <w:szCs w:val="20"/>
        </w:rPr>
      </w:pPr>
      <w:bookmarkStart w:id="18" w:name="_Toc7829"/>
      <w:bookmarkStart w:id="19" w:name="_Toc198026273"/>
      <w:bookmarkStart w:id="20" w:name="_Toc102634256"/>
      <w:bookmarkStart w:id="21" w:name="_Toc23543"/>
      <w:bookmarkStart w:id="22" w:name="_Toc192907201"/>
      <w:bookmarkStart w:id="23" w:name="_Toc102633907"/>
      <w:bookmarkStart w:id="24" w:name="_Toc102634407"/>
      <w:bookmarkStart w:id="25" w:name="_Toc238007574"/>
      <w:bookmarkStart w:id="26" w:name="_Toc102633981"/>
      <w:bookmarkStart w:id="27" w:name="_Toc272364536"/>
      <w:bookmarkStart w:id="28" w:name="_Toc15033754"/>
      <w:r>
        <w:rPr>
          <w:rFonts w:ascii="Calibri" w:hAnsi="Calibri" w:eastAsia="楷体_GB2312"/>
          <w:b/>
          <w:kern w:val="0"/>
          <w:sz w:val="32"/>
          <w:szCs w:val="20"/>
        </w:rPr>
        <w:t>第一节 评价单元的划分</w:t>
      </w:r>
      <w:bookmarkEnd w:id="18"/>
      <w:bookmarkEnd w:id="19"/>
      <w:bookmarkEnd w:id="20"/>
      <w:bookmarkEnd w:id="21"/>
      <w:bookmarkEnd w:id="22"/>
      <w:bookmarkEnd w:id="23"/>
      <w:bookmarkEnd w:id="24"/>
      <w:bookmarkEnd w:id="25"/>
      <w:bookmarkEnd w:id="26"/>
      <w:bookmarkEnd w:id="27"/>
      <w:bookmarkEnd w:id="28"/>
    </w:p>
    <w:p w14:paraId="4AB2B700">
      <w:pPr>
        <w:pStyle w:val="13"/>
        <w:keepLines w:val="0"/>
        <w:widowControl w:val="0"/>
        <w:overflowPunct/>
        <w:bidi w:val="0"/>
        <w:adjustRightInd w:val="0"/>
        <w:snapToGrid w:val="0"/>
        <w:spacing w:line="360" w:lineRule="auto"/>
        <w:ind w:firstLine="560"/>
        <w:rPr>
          <w:rFonts w:ascii="宋体"/>
        </w:rPr>
      </w:pPr>
      <w:r>
        <w:rPr>
          <w:rFonts w:ascii="宋体"/>
        </w:rPr>
        <w:t>划分评价单元时，一般以生产工艺、工艺装置、物料的特点和特征与危险有害因素的类别、分布有机结合起来进行划分，还可以按评价的要求将一个评价单元再划分为若干个子单元或更细致的单元，评价单元相对独立，具有明显的特征界限。下面是两种常用的评价单元划分原则和方法。</w:t>
      </w:r>
    </w:p>
    <w:p w14:paraId="31FD174E">
      <w:pPr>
        <w:pStyle w:val="18"/>
        <w:keepLines w:val="0"/>
        <w:widowControl w:val="0"/>
        <w:overflowPunct/>
        <w:bidi w:val="0"/>
        <w:adjustRightInd w:val="0"/>
        <w:snapToGrid w:val="0"/>
        <w:spacing w:line="360" w:lineRule="auto"/>
        <w:ind w:firstLine="560"/>
        <w:jc w:val="both"/>
      </w:pPr>
      <w:bookmarkStart w:id="29" w:name="_Toc102634257"/>
      <w:r>
        <w:rPr>
          <w:rFonts w:hint="eastAsia"/>
        </w:rPr>
        <w:t>一</w:t>
      </w:r>
      <w:r>
        <w:t>、以危险有害因素的类别为主划分评价单元</w:t>
      </w:r>
      <w:bookmarkEnd w:id="29"/>
    </w:p>
    <w:p w14:paraId="272282A5">
      <w:pPr>
        <w:pStyle w:val="13"/>
        <w:keepLines w:val="0"/>
        <w:widowControl w:val="0"/>
        <w:overflowPunct/>
        <w:bidi w:val="0"/>
        <w:adjustRightInd w:val="0"/>
        <w:snapToGrid w:val="0"/>
        <w:spacing w:line="360" w:lineRule="auto"/>
        <w:ind w:firstLine="560"/>
        <w:rPr>
          <w:rFonts w:ascii="宋体"/>
        </w:rPr>
      </w:pPr>
      <w:r>
        <w:rPr>
          <w:rFonts w:hint="eastAsia" w:ascii="宋体"/>
        </w:rPr>
        <w:t>1、</w:t>
      </w:r>
      <w:r>
        <w:rPr>
          <w:rFonts w:ascii="宋体"/>
        </w:rPr>
        <w:t>对工艺方案、总体布置及自然条件、社会环境等影响系统的危险有害因素的分析和评价，宜将整个系统作为一个评价单元。</w:t>
      </w:r>
    </w:p>
    <w:p w14:paraId="46F8F6CA">
      <w:pPr>
        <w:pStyle w:val="13"/>
        <w:keepLines w:val="0"/>
        <w:widowControl w:val="0"/>
        <w:overflowPunct/>
        <w:bidi w:val="0"/>
        <w:adjustRightInd w:val="0"/>
        <w:snapToGrid w:val="0"/>
        <w:spacing w:line="360" w:lineRule="auto"/>
        <w:ind w:firstLine="560"/>
        <w:rPr>
          <w:rFonts w:ascii="宋体"/>
        </w:rPr>
      </w:pPr>
      <w:r>
        <w:rPr>
          <w:rFonts w:hint="eastAsia" w:ascii="宋体"/>
        </w:rPr>
        <w:t>2、</w:t>
      </w:r>
      <w:r>
        <w:rPr>
          <w:rFonts w:ascii="宋体"/>
        </w:rPr>
        <w:t>将具有共性危险有害因素的场所和装置划分为一个评价单元。</w:t>
      </w:r>
    </w:p>
    <w:p w14:paraId="06944BFA">
      <w:pPr>
        <w:pStyle w:val="18"/>
        <w:keepLines w:val="0"/>
        <w:widowControl w:val="0"/>
        <w:overflowPunct/>
        <w:bidi w:val="0"/>
        <w:adjustRightInd w:val="0"/>
        <w:snapToGrid w:val="0"/>
        <w:spacing w:line="360" w:lineRule="auto"/>
        <w:ind w:firstLine="560"/>
        <w:jc w:val="both"/>
      </w:pPr>
      <w:bookmarkStart w:id="30" w:name="_Toc102634258"/>
      <w:r>
        <w:rPr>
          <w:rFonts w:hint="eastAsia"/>
        </w:rPr>
        <w:t>二</w:t>
      </w:r>
      <w:r>
        <w:t>、以物质特征划分评价单元</w:t>
      </w:r>
      <w:bookmarkEnd w:id="30"/>
    </w:p>
    <w:p w14:paraId="411DE91D">
      <w:pPr>
        <w:pStyle w:val="13"/>
        <w:keepLines w:val="0"/>
        <w:widowControl w:val="0"/>
        <w:overflowPunct/>
        <w:bidi w:val="0"/>
        <w:adjustRightInd w:val="0"/>
        <w:snapToGrid w:val="0"/>
        <w:spacing w:line="360" w:lineRule="auto"/>
        <w:ind w:firstLine="560"/>
        <w:rPr>
          <w:rFonts w:ascii="宋体"/>
        </w:rPr>
      </w:pPr>
      <w:r>
        <w:rPr>
          <w:rFonts w:ascii="宋体"/>
        </w:rPr>
        <w:t>评价过程中常按装置工艺功能、布置的相对独立性、工艺条件及贮存、处理危险物质的潜在化学能、毒性和危险物质的数量等划分评价单元。</w:t>
      </w:r>
    </w:p>
    <w:p w14:paraId="09709E82">
      <w:pPr>
        <w:pStyle w:val="13"/>
        <w:keepLines w:val="0"/>
        <w:widowControl w:val="0"/>
        <w:overflowPunct/>
        <w:bidi w:val="0"/>
        <w:adjustRightInd w:val="0"/>
        <w:snapToGrid w:val="0"/>
        <w:spacing w:line="360" w:lineRule="auto"/>
        <w:ind w:firstLine="560"/>
        <w:rPr>
          <w:rFonts w:ascii="宋体"/>
        </w:rPr>
      </w:pPr>
      <w:r>
        <w:rPr>
          <w:rFonts w:ascii="宋体"/>
        </w:rPr>
        <w:t>由于评价要求和目的不同，并且各类评价方法均有自身的特点，只要达到评价目的，评价单元的划分并不要求绝对一致。</w:t>
      </w:r>
    </w:p>
    <w:p w14:paraId="021C530C">
      <w:pPr>
        <w:pStyle w:val="13"/>
        <w:keepLines w:val="0"/>
        <w:widowControl w:val="0"/>
        <w:overflowPunct/>
        <w:bidi w:val="0"/>
        <w:adjustRightInd w:val="0"/>
        <w:snapToGrid w:val="0"/>
        <w:spacing w:line="360" w:lineRule="auto"/>
        <w:ind w:firstLine="560"/>
        <w:rPr>
          <w:rFonts w:ascii="宋体"/>
        </w:rPr>
      </w:pPr>
      <w:r>
        <w:rPr>
          <w:rFonts w:ascii="宋体"/>
        </w:rPr>
        <w:t>根据上述常用的评价单元划分原则和方法，以及《安全评价通则》中关于安全评价报告主要内容和要求的规定结合该项目的特点和实际情况，将评价内容划分为以下四个单元：</w:t>
      </w:r>
    </w:p>
    <w:p w14:paraId="355B3FD3">
      <w:pPr>
        <w:pStyle w:val="13"/>
        <w:keepLines w:val="0"/>
        <w:widowControl w:val="0"/>
        <w:overflowPunct/>
        <w:bidi w:val="0"/>
        <w:adjustRightInd w:val="0"/>
        <w:snapToGrid w:val="0"/>
        <w:spacing w:line="360" w:lineRule="auto"/>
        <w:ind w:firstLine="560"/>
        <w:rPr>
          <w:rFonts w:ascii="宋体"/>
        </w:rPr>
      </w:pPr>
      <w:r>
        <w:rPr>
          <w:rFonts w:ascii="宋体"/>
        </w:rPr>
        <w:t>1、安全管理；</w:t>
      </w:r>
    </w:p>
    <w:p w14:paraId="2F05E7DD">
      <w:pPr>
        <w:pStyle w:val="13"/>
        <w:keepLines w:val="0"/>
        <w:widowControl w:val="0"/>
        <w:overflowPunct/>
        <w:bidi w:val="0"/>
        <w:adjustRightInd w:val="0"/>
        <w:snapToGrid w:val="0"/>
        <w:spacing w:line="360" w:lineRule="auto"/>
        <w:ind w:firstLine="560"/>
        <w:rPr>
          <w:rFonts w:ascii="宋体"/>
        </w:rPr>
      </w:pPr>
      <w:r>
        <w:rPr>
          <w:rFonts w:ascii="宋体"/>
        </w:rPr>
        <w:t>2、站址选择及总</w:t>
      </w:r>
      <w:r>
        <w:rPr>
          <w:rFonts w:hint="eastAsia" w:ascii="宋体"/>
        </w:rPr>
        <w:t>平面</w:t>
      </w:r>
      <w:r>
        <w:rPr>
          <w:rFonts w:ascii="宋体"/>
        </w:rPr>
        <w:t>布置；</w:t>
      </w:r>
    </w:p>
    <w:p w14:paraId="03F410CD">
      <w:pPr>
        <w:pStyle w:val="13"/>
        <w:keepLines w:val="0"/>
        <w:widowControl w:val="0"/>
        <w:overflowPunct/>
        <w:bidi w:val="0"/>
        <w:adjustRightInd w:val="0"/>
        <w:snapToGrid w:val="0"/>
        <w:spacing w:line="360" w:lineRule="auto"/>
        <w:ind w:firstLine="560"/>
        <w:rPr>
          <w:rFonts w:ascii="宋体"/>
        </w:rPr>
      </w:pPr>
      <w:r>
        <w:rPr>
          <w:rFonts w:ascii="宋体"/>
        </w:rPr>
        <w:t>3、加油工艺及设施；</w:t>
      </w:r>
    </w:p>
    <w:p w14:paraId="733F0B79">
      <w:pPr>
        <w:pStyle w:val="13"/>
        <w:keepLines w:val="0"/>
        <w:widowControl w:val="0"/>
        <w:overflowPunct/>
        <w:bidi w:val="0"/>
        <w:adjustRightInd w:val="0"/>
        <w:snapToGrid w:val="0"/>
        <w:spacing w:line="360" w:lineRule="auto"/>
        <w:ind w:firstLine="560"/>
        <w:rPr>
          <w:rFonts w:ascii="宋体"/>
        </w:rPr>
      </w:pPr>
      <w:r>
        <w:rPr>
          <w:rFonts w:ascii="宋体"/>
        </w:rPr>
        <w:t>4、其它安全设施等。</w:t>
      </w:r>
      <w:bookmarkStart w:id="31" w:name="_Toc198026274"/>
      <w:bookmarkStart w:id="32" w:name="_Toc188079886"/>
      <w:bookmarkStart w:id="33" w:name="_Toc192907202"/>
      <w:bookmarkStart w:id="34" w:name="_Toc272364537"/>
      <w:bookmarkStart w:id="35" w:name="_Toc188080068"/>
      <w:bookmarkStart w:id="36" w:name="_Toc15033755"/>
      <w:bookmarkStart w:id="37" w:name="_Toc24232"/>
      <w:bookmarkStart w:id="38" w:name="_Toc19785"/>
      <w:bookmarkStart w:id="39" w:name="_Toc238007575"/>
    </w:p>
    <w:p w14:paraId="051AA832">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1"/>
        <w:rPr>
          <w:rFonts w:ascii="Calibri" w:hAnsi="Calibri" w:eastAsia="楷体_GB2312"/>
          <w:b/>
          <w:kern w:val="0"/>
          <w:sz w:val="32"/>
          <w:szCs w:val="20"/>
        </w:rPr>
      </w:pPr>
      <w:bookmarkStart w:id="40" w:name="_Toc102634259"/>
      <w:bookmarkStart w:id="41" w:name="_Toc102633982"/>
      <w:bookmarkStart w:id="42" w:name="_Toc102633908"/>
      <w:bookmarkStart w:id="43" w:name="_Toc102634408"/>
      <w:r>
        <w:rPr>
          <w:rFonts w:ascii="Calibri" w:hAnsi="Calibri" w:eastAsia="楷体_GB2312"/>
          <w:b/>
          <w:kern w:val="0"/>
          <w:sz w:val="32"/>
          <w:szCs w:val="20"/>
        </w:rPr>
        <w:t>第二节 评价方法的选择</w:t>
      </w:r>
      <w:bookmarkEnd w:id="31"/>
      <w:bookmarkEnd w:id="32"/>
      <w:bookmarkEnd w:id="33"/>
      <w:bookmarkEnd w:id="34"/>
      <w:bookmarkEnd w:id="35"/>
      <w:bookmarkEnd w:id="36"/>
      <w:bookmarkEnd w:id="37"/>
      <w:bookmarkEnd w:id="38"/>
      <w:bookmarkEnd w:id="39"/>
      <w:bookmarkEnd w:id="40"/>
      <w:bookmarkEnd w:id="41"/>
      <w:bookmarkEnd w:id="42"/>
      <w:bookmarkEnd w:id="43"/>
    </w:p>
    <w:p w14:paraId="535BCEA4">
      <w:pPr>
        <w:pStyle w:val="13"/>
        <w:keepLines w:val="0"/>
        <w:widowControl w:val="0"/>
        <w:overflowPunct/>
        <w:bidi w:val="0"/>
        <w:adjustRightInd w:val="0"/>
        <w:snapToGrid w:val="0"/>
        <w:spacing w:line="360" w:lineRule="auto"/>
        <w:ind w:firstLine="560"/>
        <w:rPr>
          <w:rFonts w:ascii="宋体"/>
        </w:rPr>
      </w:pPr>
      <w:r>
        <w:rPr>
          <w:rFonts w:ascii="宋体"/>
        </w:rPr>
        <w:t>在进行安全评价时，应该在认真分析并熟悉评价系统的前提下，选择安全评价方法。选择安全评价方法应遵循充分性、系统性、针对性和合理性的原则。</w:t>
      </w:r>
    </w:p>
    <w:p w14:paraId="60B39051">
      <w:pPr>
        <w:pStyle w:val="13"/>
        <w:keepLines w:val="0"/>
        <w:widowControl w:val="0"/>
        <w:overflowPunct/>
        <w:bidi w:val="0"/>
        <w:adjustRightInd w:val="0"/>
        <w:snapToGrid w:val="0"/>
        <w:spacing w:line="360" w:lineRule="auto"/>
        <w:ind w:firstLine="560"/>
        <w:rPr>
          <w:rFonts w:ascii="宋体"/>
        </w:rPr>
      </w:pPr>
      <w:r>
        <w:rPr>
          <w:rFonts w:ascii="宋体"/>
        </w:rPr>
        <w:t>在选择安全评价方法时，应首先详细分析被评价的系统，明确通过安全评价要达到的目标，即通过安全评价需要给出哪些、什么样的安全评价结果；然后应收集尽量多的安全评价方法，将安全评价方法进行分类整理，明确被评价的系统能够提供的基础数据、工艺和其它资料；再根据安全评价要达到的目标以及所需的基础数据、工艺和其它资料，选择适用的安全评价方法。</w:t>
      </w:r>
    </w:p>
    <w:p w14:paraId="4F7EF54E">
      <w:pPr>
        <w:pStyle w:val="13"/>
        <w:keepLines w:val="0"/>
        <w:widowControl w:val="0"/>
        <w:overflowPunct/>
        <w:bidi w:val="0"/>
        <w:adjustRightInd w:val="0"/>
        <w:snapToGrid w:val="0"/>
        <w:spacing w:line="360" w:lineRule="auto"/>
        <w:ind w:firstLine="560"/>
        <w:rPr>
          <w:rFonts w:ascii="宋体"/>
        </w:rPr>
      </w:pPr>
      <w:r>
        <w:rPr>
          <w:rFonts w:ascii="宋体"/>
        </w:rPr>
        <w:t>根据本次安全评价的特点，结合</w:t>
      </w:r>
      <w:r>
        <w:rPr>
          <w:rFonts w:hint="eastAsia" w:ascii="宋体"/>
          <w:lang w:eastAsia="zh-CN"/>
        </w:rPr>
        <w:t>新泰市杞星石化加油站</w:t>
      </w:r>
      <w:r>
        <w:rPr>
          <w:rFonts w:ascii="宋体"/>
        </w:rPr>
        <w:t>的具体情况，选用安全检查表、事故树法及危险度评价法对加油站进行评价。具体应用如下表所示：</w:t>
      </w:r>
    </w:p>
    <w:p w14:paraId="7E0C1FAC">
      <w:pPr>
        <w:pStyle w:val="15"/>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ascii="黑体" w:hAnsi="黑体"/>
        </w:rPr>
      </w:pPr>
      <w:r>
        <w:rPr>
          <w:rFonts w:ascii="黑体" w:hAnsi="黑体"/>
        </w:rPr>
        <w:t>表4.2-1 评价方法选择一览表</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6"/>
        <w:gridCol w:w="2388"/>
        <w:gridCol w:w="2222"/>
        <w:gridCol w:w="2174"/>
        <w:gridCol w:w="1808"/>
      </w:tblGrid>
      <w:tr w14:paraId="60172D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Merge w:val="restart"/>
            <w:vAlign w:val="center"/>
          </w:tcPr>
          <w:p w14:paraId="18961454">
            <w:pPr>
              <w:pStyle w:val="16"/>
              <w:keepLines w:val="0"/>
              <w:widowControl w:val="0"/>
              <w:overflowPunct/>
              <w:bidi w:val="0"/>
              <w:adjustRightInd w:val="0"/>
              <w:snapToGrid w:val="0"/>
              <w:spacing w:line="360" w:lineRule="auto"/>
              <w:rPr>
                <w:rFonts w:ascii="宋体"/>
                <w:b/>
                <w:lang w:val="en-GB"/>
              </w:rPr>
            </w:pPr>
            <w:r>
              <w:rPr>
                <w:rFonts w:ascii="宋体"/>
                <w:b/>
                <w:lang w:val="en-GB"/>
              </w:rPr>
              <w:t>序号</w:t>
            </w:r>
          </w:p>
        </w:tc>
        <w:tc>
          <w:tcPr>
            <w:tcW w:w="1285" w:type="pct"/>
            <w:vMerge w:val="restart"/>
            <w:vAlign w:val="center"/>
          </w:tcPr>
          <w:p w14:paraId="3004EDFC">
            <w:pPr>
              <w:pStyle w:val="16"/>
              <w:keepLines w:val="0"/>
              <w:widowControl w:val="0"/>
              <w:overflowPunct/>
              <w:bidi w:val="0"/>
              <w:adjustRightInd w:val="0"/>
              <w:snapToGrid w:val="0"/>
              <w:spacing w:line="360" w:lineRule="auto"/>
              <w:rPr>
                <w:rFonts w:ascii="宋体"/>
                <w:b/>
              </w:rPr>
            </w:pPr>
            <w:r>
              <w:rPr>
                <w:rFonts w:ascii="宋体"/>
                <w:b/>
                <w:bCs/>
                <w:lang w:val="en-GB"/>
              </w:rPr>
              <w:t>评价单元</w:t>
            </w:r>
          </w:p>
        </w:tc>
        <w:tc>
          <w:tcPr>
            <w:tcW w:w="3339" w:type="pct"/>
            <w:gridSpan w:val="3"/>
            <w:vAlign w:val="center"/>
          </w:tcPr>
          <w:p w14:paraId="6126F989">
            <w:pPr>
              <w:pStyle w:val="16"/>
              <w:keepLines w:val="0"/>
              <w:widowControl w:val="0"/>
              <w:overflowPunct/>
              <w:bidi w:val="0"/>
              <w:adjustRightInd w:val="0"/>
              <w:snapToGrid w:val="0"/>
              <w:spacing w:line="360" w:lineRule="auto"/>
              <w:rPr>
                <w:rFonts w:ascii="宋体"/>
                <w:b/>
              </w:rPr>
            </w:pPr>
            <w:r>
              <w:rPr>
                <w:rFonts w:ascii="宋体"/>
                <w:b/>
                <w:lang w:val="en-GB"/>
              </w:rPr>
              <w:t>评价方法</w:t>
            </w:r>
          </w:p>
        </w:tc>
      </w:tr>
      <w:tr w14:paraId="466DFF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Merge w:val="continue"/>
            <w:vAlign w:val="center"/>
          </w:tcPr>
          <w:p w14:paraId="16B62363">
            <w:pPr>
              <w:pStyle w:val="16"/>
              <w:keepLines w:val="0"/>
              <w:widowControl w:val="0"/>
              <w:overflowPunct/>
              <w:bidi w:val="0"/>
              <w:adjustRightInd w:val="0"/>
              <w:snapToGrid w:val="0"/>
              <w:spacing w:line="360" w:lineRule="auto"/>
              <w:rPr>
                <w:rFonts w:ascii="宋体"/>
                <w:b/>
                <w:lang w:val="en-GB"/>
              </w:rPr>
            </w:pPr>
          </w:p>
        </w:tc>
        <w:tc>
          <w:tcPr>
            <w:tcW w:w="1285" w:type="pct"/>
            <w:vMerge w:val="continue"/>
            <w:vAlign w:val="center"/>
          </w:tcPr>
          <w:p w14:paraId="610A02F3">
            <w:pPr>
              <w:pStyle w:val="16"/>
              <w:keepLines w:val="0"/>
              <w:widowControl w:val="0"/>
              <w:overflowPunct/>
              <w:bidi w:val="0"/>
              <w:adjustRightInd w:val="0"/>
              <w:snapToGrid w:val="0"/>
              <w:spacing w:line="360" w:lineRule="auto"/>
              <w:rPr>
                <w:rFonts w:ascii="宋体"/>
                <w:b/>
              </w:rPr>
            </w:pPr>
          </w:p>
        </w:tc>
        <w:tc>
          <w:tcPr>
            <w:tcW w:w="1196" w:type="pct"/>
            <w:vAlign w:val="center"/>
          </w:tcPr>
          <w:p w14:paraId="08585B79">
            <w:pPr>
              <w:pStyle w:val="16"/>
              <w:keepLines w:val="0"/>
              <w:widowControl w:val="0"/>
              <w:overflowPunct/>
              <w:bidi w:val="0"/>
              <w:adjustRightInd w:val="0"/>
              <w:snapToGrid w:val="0"/>
              <w:spacing w:line="360" w:lineRule="auto"/>
              <w:rPr>
                <w:rFonts w:ascii="宋体"/>
                <w:b/>
                <w:lang w:val="en-GB"/>
              </w:rPr>
            </w:pPr>
            <w:r>
              <w:rPr>
                <w:rFonts w:ascii="宋体"/>
                <w:b/>
                <w:lang w:val="en-GB"/>
              </w:rPr>
              <w:t>安全检查表</w:t>
            </w:r>
          </w:p>
        </w:tc>
        <w:tc>
          <w:tcPr>
            <w:tcW w:w="1170" w:type="pct"/>
            <w:vAlign w:val="center"/>
          </w:tcPr>
          <w:p w14:paraId="17F93F0C">
            <w:pPr>
              <w:pStyle w:val="16"/>
              <w:keepLines w:val="0"/>
              <w:widowControl w:val="0"/>
              <w:overflowPunct/>
              <w:bidi w:val="0"/>
              <w:adjustRightInd w:val="0"/>
              <w:snapToGrid w:val="0"/>
              <w:spacing w:line="360" w:lineRule="auto"/>
              <w:rPr>
                <w:rFonts w:ascii="宋体"/>
                <w:b/>
                <w:lang w:val="en-GB"/>
              </w:rPr>
            </w:pPr>
            <w:r>
              <w:rPr>
                <w:rFonts w:ascii="宋体"/>
                <w:b/>
                <w:lang w:val="en-GB"/>
              </w:rPr>
              <w:t>危险度评价法</w:t>
            </w:r>
          </w:p>
        </w:tc>
        <w:tc>
          <w:tcPr>
            <w:tcW w:w="972" w:type="pct"/>
            <w:vAlign w:val="center"/>
          </w:tcPr>
          <w:p w14:paraId="6511790C">
            <w:pPr>
              <w:pStyle w:val="16"/>
              <w:keepLines w:val="0"/>
              <w:widowControl w:val="0"/>
              <w:overflowPunct/>
              <w:bidi w:val="0"/>
              <w:adjustRightInd w:val="0"/>
              <w:snapToGrid w:val="0"/>
              <w:spacing w:line="360" w:lineRule="auto"/>
              <w:rPr>
                <w:rFonts w:ascii="宋体"/>
                <w:b/>
                <w:lang w:val="en-GB"/>
              </w:rPr>
            </w:pPr>
            <w:r>
              <w:rPr>
                <w:rFonts w:ascii="宋体"/>
                <w:b/>
                <w:lang w:val="en-GB"/>
              </w:rPr>
              <w:t>事故树法</w:t>
            </w:r>
          </w:p>
        </w:tc>
      </w:tr>
      <w:tr w14:paraId="693774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25322502">
            <w:pPr>
              <w:pStyle w:val="16"/>
              <w:keepLines w:val="0"/>
              <w:widowControl w:val="0"/>
              <w:overflowPunct/>
              <w:bidi w:val="0"/>
              <w:adjustRightInd w:val="0"/>
              <w:snapToGrid w:val="0"/>
              <w:spacing w:line="360" w:lineRule="auto"/>
              <w:rPr>
                <w:rFonts w:ascii="宋体"/>
                <w:lang w:val="en-GB"/>
              </w:rPr>
            </w:pPr>
            <w:r>
              <w:rPr>
                <w:rFonts w:ascii="宋体"/>
                <w:lang w:val="en-GB"/>
              </w:rPr>
              <w:t>1</w:t>
            </w:r>
          </w:p>
        </w:tc>
        <w:tc>
          <w:tcPr>
            <w:tcW w:w="1285" w:type="pct"/>
            <w:vAlign w:val="center"/>
          </w:tcPr>
          <w:p w14:paraId="58E3B2D9">
            <w:pPr>
              <w:pStyle w:val="16"/>
              <w:keepLines w:val="0"/>
              <w:widowControl w:val="0"/>
              <w:overflowPunct/>
              <w:bidi w:val="0"/>
              <w:adjustRightInd w:val="0"/>
              <w:snapToGrid w:val="0"/>
              <w:spacing w:line="360" w:lineRule="auto"/>
              <w:rPr>
                <w:rFonts w:ascii="宋体"/>
                <w:lang w:val="en-GB"/>
              </w:rPr>
            </w:pPr>
            <w:r>
              <w:rPr>
                <w:rFonts w:ascii="宋体"/>
                <w:lang w:val="en-GB"/>
              </w:rPr>
              <w:t>安全管理单元</w:t>
            </w:r>
          </w:p>
        </w:tc>
        <w:tc>
          <w:tcPr>
            <w:tcW w:w="1196" w:type="pct"/>
            <w:vAlign w:val="center"/>
          </w:tcPr>
          <w:p w14:paraId="3A7B6FA9">
            <w:pPr>
              <w:pStyle w:val="16"/>
              <w:keepLines w:val="0"/>
              <w:widowControl w:val="0"/>
              <w:overflowPunct/>
              <w:bidi w:val="0"/>
              <w:adjustRightInd w:val="0"/>
              <w:snapToGrid w:val="0"/>
              <w:spacing w:line="360" w:lineRule="auto"/>
              <w:rPr>
                <w:rFonts w:ascii="宋体"/>
              </w:rPr>
            </w:pPr>
            <w:r>
              <w:rPr>
                <w:rFonts w:hint="eastAsia" w:ascii="宋体" w:hAnsi="宋体" w:cs="宋体"/>
              </w:rPr>
              <w:t>★</w:t>
            </w:r>
          </w:p>
        </w:tc>
        <w:tc>
          <w:tcPr>
            <w:tcW w:w="1170" w:type="pct"/>
            <w:vAlign w:val="center"/>
          </w:tcPr>
          <w:p w14:paraId="292D4AF3">
            <w:pPr>
              <w:pStyle w:val="16"/>
              <w:keepLines w:val="0"/>
              <w:widowControl w:val="0"/>
              <w:overflowPunct/>
              <w:bidi w:val="0"/>
              <w:adjustRightInd w:val="0"/>
              <w:snapToGrid w:val="0"/>
              <w:spacing w:line="360" w:lineRule="auto"/>
              <w:rPr>
                <w:rFonts w:ascii="宋体"/>
              </w:rPr>
            </w:pPr>
          </w:p>
        </w:tc>
        <w:tc>
          <w:tcPr>
            <w:tcW w:w="972" w:type="pct"/>
            <w:vAlign w:val="center"/>
          </w:tcPr>
          <w:p w14:paraId="36CAE674">
            <w:pPr>
              <w:pStyle w:val="16"/>
              <w:keepLines w:val="0"/>
              <w:widowControl w:val="0"/>
              <w:overflowPunct/>
              <w:bidi w:val="0"/>
              <w:adjustRightInd w:val="0"/>
              <w:snapToGrid w:val="0"/>
              <w:spacing w:line="360" w:lineRule="auto"/>
              <w:rPr>
                <w:rFonts w:ascii="宋体"/>
              </w:rPr>
            </w:pPr>
          </w:p>
        </w:tc>
      </w:tr>
      <w:tr w14:paraId="699F3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71C3F727">
            <w:pPr>
              <w:pStyle w:val="16"/>
              <w:keepLines w:val="0"/>
              <w:widowControl w:val="0"/>
              <w:overflowPunct/>
              <w:bidi w:val="0"/>
              <w:adjustRightInd w:val="0"/>
              <w:snapToGrid w:val="0"/>
              <w:spacing w:line="360" w:lineRule="auto"/>
              <w:rPr>
                <w:rFonts w:ascii="宋体"/>
                <w:lang w:val="en-GB"/>
              </w:rPr>
            </w:pPr>
            <w:r>
              <w:rPr>
                <w:rFonts w:ascii="宋体"/>
                <w:lang w:val="en-GB"/>
              </w:rPr>
              <w:t>2</w:t>
            </w:r>
          </w:p>
        </w:tc>
        <w:tc>
          <w:tcPr>
            <w:tcW w:w="1285" w:type="pct"/>
            <w:vAlign w:val="center"/>
          </w:tcPr>
          <w:p w14:paraId="7D221DD7">
            <w:pPr>
              <w:pStyle w:val="16"/>
              <w:keepLines w:val="0"/>
              <w:widowControl w:val="0"/>
              <w:overflowPunct/>
              <w:bidi w:val="0"/>
              <w:adjustRightInd w:val="0"/>
              <w:snapToGrid w:val="0"/>
              <w:spacing w:line="360" w:lineRule="auto"/>
              <w:rPr>
                <w:rFonts w:ascii="宋体"/>
                <w:lang w:val="en-GB"/>
              </w:rPr>
            </w:pPr>
            <w:r>
              <w:rPr>
                <w:rFonts w:ascii="宋体"/>
                <w:lang w:val="en-GB"/>
              </w:rPr>
              <w:t>站址选择及总平面布置</w:t>
            </w:r>
          </w:p>
        </w:tc>
        <w:tc>
          <w:tcPr>
            <w:tcW w:w="1196" w:type="pct"/>
            <w:vAlign w:val="center"/>
          </w:tcPr>
          <w:p w14:paraId="4ADA4F8A">
            <w:pPr>
              <w:pStyle w:val="16"/>
              <w:keepLines w:val="0"/>
              <w:widowControl w:val="0"/>
              <w:overflowPunct/>
              <w:bidi w:val="0"/>
              <w:adjustRightInd w:val="0"/>
              <w:snapToGrid w:val="0"/>
              <w:spacing w:line="360" w:lineRule="auto"/>
              <w:rPr>
                <w:rFonts w:ascii="宋体"/>
              </w:rPr>
            </w:pPr>
            <w:r>
              <w:rPr>
                <w:rFonts w:hint="eastAsia" w:ascii="宋体" w:hAnsi="宋体" w:cs="宋体"/>
              </w:rPr>
              <w:t>★</w:t>
            </w:r>
          </w:p>
        </w:tc>
        <w:tc>
          <w:tcPr>
            <w:tcW w:w="1170" w:type="pct"/>
            <w:vAlign w:val="center"/>
          </w:tcPr>
          <w:p w14:paraId="4EAD77A3">
            <w:pPr>
              <w:pStyle w:val="16"/>
              <w:keepLines w:val="0"/>
              <w:widowControl w:val="0"/>
              <w:overflowPunct/>
              <w:bidi w:val="0"/>
              <w:adjustRightInd w:val="0"/>
              <w:snapToGrid w:val="0"/>
              <w:spacing w:line="360" w:lineRule="auto"/>
              <w:rPr>
                <w:rFonts w:ascii="宋体"/>
              </w:rPr>
            </w:pPr>
          </w:p>
        </w:tc>
        <w:tc>
          <w:tcPr>
            <w:tcW w:w="972" w:type="pct"/>
            <w:vAlign w:val="center"/>
          </w:tcPr>
          <w:p w14:paraId="0250E45D">
            <w:pPr>
              <w:pStyle w:val="16"/>
              <w:keepLines w:val="0"/>
              <w:widowControl w:val="0"/>
              <w:overflowPunct/>
              <w:bidi w:val="0"/>
              <w:adjustRightInd w:val="0"/>
              <w:snapToGrid w:val="0"/>
              <w:spacing w:line="360" w:lineRule="auto"/>
              <w:rPr>
                <w:rFonts w:ascii="宋体"/>
              </w:rPr>
            </w:pPr>
          </w:p>
        </w:tc>
      </w:tr>
      <w:tr w14:paraId="1C6BF8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43CFF838">
            <w:pPr>
              <w:pStyle w:val="16"/>
              <w:keepLines w:val="0"/>
              <w:widowControl w:val="0"/>
              <w:overflowPunct/>
              <w:bidi w:val="0"/>
              <w:adjustRightInd w:val="0"/>
              <w:snapToGrid w:val="0"/>
              <w:spacing w:line="360" w:lineRule="auto"/>
              <w:rPr>
                <w:rFonts w:ascii="宋体"/>
                <w:lang w:val="en-GB"/>
              </w:rPr>
            </w:pPr>
            <w:r>
              <w:rPr>
                <w:rFonts w:ascii="宋体"/>
                <w:lang w:val="en-GB"/>
              </w:rPr>
              <w:t>3</w:t>
            </w:r>
          </w:p>
        </w:tc>
        <w:tc>
          <w:tcPr>
            <w:tcW w:w="1285" w:type="pct"/>
            <w:vAlign w:val="center"/>
          </w:tcPr>
          <w:p w14:paraId="05079EBA">
            <w:pPr>
              <w:pStyle w:val="16"/>
              <w:keepLines w:val="0"/>
              <w:widowControl w:val="0"/>
              <w:overflowPunct/>
              <w:bidi w:val="0"/>
              <w:adjustRightInd w:val="0"/>
              <w:snapToGrid w:val="0"/>
              <w:spacing w:line="360" w:lineRule="auto"/>
              <w:rPr>
                <w:rFonts w:ascii="宋体"/>
                <w:lang w:val="en-GB"/>
              </w:rPr>
            </w:pPr>
            <w:r>
              <w:rPr>
                <w:rFonts w:ascii="宋体"/>
                <w:lang w:val="en-GB"/>
              </w:rPr>
              <w:t>加油工艺及设施</w:t>
            </w:r>
          </w:p>
        </w:tc>
        <w:tc>
          <w:tcPr>
            <w:tcW w:w="1196" w:type="pct"/>
            <w:vAlign w:val="center"/>
          </w:tcPr>
          <w:p w14:paraId="278F0A76">
            <w:pPr>
              <w:pStyle w:val="16"/>
              <w:keepLines w:val="0"/>
              <w:widowControl w:val="0"/>
              <w:overflowPunct/>
              <w:bidi w:val="0"/>
              <w:adjustRightInd w:val="0"/>
              <w:snapToGrid w:val="0"/>
              <w:spacing w:line="360" w:lineRule="auto"/>
              <w:rPr>
                <w:rFonts w:ascii="宋体"/>
              </w:rPr>
            </w:pPr>
            <w:r>
              <w:rPr>
                <w:rFonts w:hint="eastAsia" w:ascii="宋体" w:hAnsi="宋体" w:cs="宋体"/>
              </w:rPr>
              <w:t>★</w:t>
            </w:r>
          </w:p>
        </w:tc>
        <w:tc>
          <w:tcPr>
            <w:tcW w:w="1170" w:type="pct"/>
            <w:vAlign w:val="center"/>
          </w:tcPr>
          <w:p w14:paraId="22F7F320">
            <w:pPr>
              <w:pStyle w:val="16"/>
              <w:keepLines w:val="0"/>
              <w:widowControl w:val="0"/>
              <w:overflowPunct/>
              <w:bidi w:val="0"/>
              <w:adjustRightInd w:val="0"/>
              <w:snapToGrid w:val="0"/>
              <w:spacing w:line="360" w:lineRule="auto"/>
              <w:rPr>
                <w:rFonts w:ascii="宋体"/>
              </w:rPr>
            </w:pPr>
            <w:r>
              <w:rPr>
                <w:rFonts w:hint="eastAsia" w:ascii="宋体" w:hAnsi="宋体" w:cs="宋体"/>
              </w:rPr>
              <w:t>★</w:t>
            </w:r>
          </w:p>
        </w:tc>
        <w:tc>
          <w:tcPr>
            <w:tcW w:w="972" w:type="pct"/>
            <w:vAlign w:val="center"/>
          </w:tcPr>
          <w:p w14:paraId="07BDB70B">
            <w:pPr>
              <w:pStyle w:val="16"/>
              <w:keepLines w:val="0"/>
              <w:widowControl w:val="0"/>
              <w:overflowPunct/>
              <w:bidi w:val="0"/>
              <w:adjustRightInd w:val="0"/>
              <w:snapToGrid w:val="0"/>
              <w:spacing w:line="360" w:lineRule="auto"/>
              <w:rPr>
                <w:rFonts w:ascii="宋体"/>
              </w:rPr>
            </w:pPr>
            <w:r>
              <w:rPr>
                <w:rFonts w:hint="eastAsia" w:ascii="宋体" w:hAnsi="宋体" w:cs="宋体"/>
              </w:rPr>
              <w:t>★</w:t>
            </w:r>
          </w:p>
        </w:tc>
      </w:tr>
      <w:tr w14:paraId="41022D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645B36C5">
            <w:pPr>
              <w:pStyle w:val="16"/>
              <w:keepLines w:val="0"/>
              <w:widowControl w:val="0"/>
              <w:overflowPunct/>
              <w:bidi w:val="0"/>
              <w:adjustRightInd w:val="0"/>
              <w:snapToGrid w:val="0"/>
              <w:spacing w:line="360" w:lineRule="auto"/>
              <w:rPr>
                <w:rFonts w:ascii="宋体"/>
                <w:lang w:val="en-GB"/>
              </w:rPr>
            </w:pPr>
            <w:r>
              <w:rPr>
                <w:rFonts w:ascii="宋体"/>
                <w:lang w:val="en-GB"/>
              </w:rPr>
              <w:t>4</w:t>
            </w:r>
          </w:p>
        </w:tc>
        <w:tc>
          <w:tcPr>
            <w:tcW w:w="1285" w:type="pct"/>
            <w:vAlign w:val="center"/>
          </w:tcPr>
          <w:p w14:paraId="7EFC13E4">
            <w:pPr>
              <w:pStyle w:val="16"/>
              <w:keepLines w:val="0"/>
              <w:widowControl w:val="0"/>
              <w:overflowPunct/>
              <w:bidi w:val="0"/>
              <w:adjustRightInd w:val="0"/>
              <w:snapToGrid w:val="0"/>
              <w:spacing w:line="360" w:lineRule="auto"/>
              <w:rPr>
                <w:rFonts w:ascii="宋体"/>
                <w:lang w:val="en-GB"/>
              </w:rPr>
            </w:pPr>
            <w:r>
              <w:rPr>
                <w:rFonts w:ascii="宋体"/>
                <w:lang w:val="en-GB"/>
              </w:rPr>
              <w:t>其它安全设施</w:t>
            </w:r>
          </w:p>
        </w:tc>
        <w:tc>
          <w:tcPr>
            <w:tcW w:w="1196" w:type="pct"/>
            <w:vAlign w:val="center"/>
          </w:tcPr>
          <w:p w14:paraId="21012EA3">
            <w:pPr>
              <w:pStyle w:val="16"/>
              <w:keepLines w:val="0"/>
              <w:widowControl w:val="0"/>
              <w:overflowPunct/>
              <w:bidi w:val="0"/>
              <w:adjustRightInd w:val="0"/>
              <w:snapToGrid w:val="0"/>
              <w:spacing w:line="360" w:lineRule="auto"/>
              <w:rPr>
                <w:rFonts w:ascii="宋体"/>
              </w:rPr>
            </w:pPr>
            <w:r>
              <w:rPr>
                <w:rFonts w:hint="eastAsia" w:ascii="宋体" w:hAnsi="宋体" w:cs="宋体"/>
              </w:rPr>
              <w:t>★</w:t>
            </w:r>
          </w:p>
        </w:tc>
        <w:tc>
          <w:tcPr>
            <w:tcW w:w="1170" w:type="pct"/>
            <w:vAlign w:val="center"/>
          </w:tcPr>
          <w:p w14:paraId="4522BB6F">
            <w:pPr>
              <w:pStyle w:val="16"/>
              <w:keepLines w:val="0"/>
              <w:widowControl w:val="0"/>
              <w:overflowPunct/>
              <w:bidi w:val="0"/>
              <w:adjustRightInd w:val="0"/>
              <w:snapToGrid w:val="0"/>
              <w:spacing w:line="360" w:lineRule="auto"/>
              <w:rPr>
                <w:rFonts w:ascii="宋体"/>
              </w:rPr>
            </w:pPr>
          </w:p>
        </w:tc>
        <w:tc>
          <w:tcPr>
            <w:tcW w:w="972" w:type="pct"/>
            <w:vAlign w:val="center"/>
          </w:tcPr>
          <w:p w14:paraId="7DA50442">
            <w:pPr>
              <w:pStyle w:val="16"/>
              <w:keepLines w:val="0"/>
              <w:widowControl w:val="0"/>
              <w:overflowPunct/>
              <w:bidi w:val="0"/>
              <w:adjustRightInd w:val="0"/>
              <w:snapToGrid w:val="0"/>
              <w:spacing w:line="360" w:lineRule="auto"/>
              <w:rPr>
                <w:rFonts w:ascii="宋体"/>
              </w:rPr>
            </w:pPr>
          </w:p>
        </w:tc>
      </w:tr>
    </w:tbl>
    <w:p w14:paraId="5246D7E8">
      <w:pPr>
        <w:pStyle w:val="13"/>
        <w:widowControl w:val="0"/>
        <w:spacing w:line="360" w:lineRule="auto"/>
        <w:ind w:firstLine="420"/>
        <w:rPr>
          <w:rFonts w:ascii="黑体" w:hAnsi="黑体" w:eastAsia="黑体"/>
          <w:highlight w:val="none"/>
        </w:rPr>
      </w:pPr>
      <w:r>
        <w:rPr>
          <w:rFonts w:ascii="黑体" w:hAnsi="黑体" w:eastAsia="黑体"/>
          <w:sz w:val="21"/>
          <w:szCs w:val="21"/>
          <w:u w:color="000000"/>
        </w:rPr>
        <w:t>注：表中“★”表示采用的评价方法</w:t>
      </w:r>
      <w:r>
        <w:rPr>
          <w:rFonts w:ascii="黑体" w:hAnsi="黑体" w:eastAsia="黑体"/>
          <w:sz w:val="21"/>
          <w:szCs w:val="21"/>
          <w:highlight w:val="none"/>
          <w:u w:color="000000"/>
        </w:rPr>
        <w:t>。</w:t>
      </w:r>
    </w:p>
    <w:p w14:paraId="0D44F414">
      <w:pPr>
        <w:pStyle w:val="3"/>
        <w:rPr>
          <w:rFonts w:hint="default"/>
          <w:lang w:val="en-US" w:eastAsia="zh-CN"/>
        </w:rPr>
      </w:pPr>
    </w:p>
    <w:p w14:paraId="3853A0C8">
      <w:pPr>
        <w:pStyle w:val="3"/>
        <w:rPr>
          <w:rFonts w:hint="default"/>
          <w:lang w:val="en-US" w:eastAsia="zh-CN"/>
        </w:rPr>
      </w:pPr>
    </w:p>
    <w:p w14:paraId="2F2E377C">
      <w:pPr>
        <w:pStyle w:val="3"/>
        <w:rPr>
          <w:rFonts w:hint="default"/>
          <w:lang w:val="en-US" w:eastAsia="zh-CN"/>
        </w:rPr>
      </w:pPr>
    </w:p>
    <w:p w14:paraId="55B8E763">
      <w:pPr>
        <w:pStyle w:val="14"/>
        <w:keepLines w:val="0"/>
        <w:widowControl w:val="0"/>
        <w:overflowPunct/>
        <w:bidi w:val="0"/>
        <w:adjustRightInd w:val="0"/>
        <w:snapToGrid w:val="0"/>
        <w:spacing w:before="468" w:beforeLines="150" w:after="156" w:afterLines="50" w:line="360" w:lineRule="auto"/>
      </w:pPr>
      <w:bookmarkStart w:id="44" w:name="_Toc9894"/>
      <w:bookmarkStart w:id="45" w:name="_Toc102634276"/>
      <w:bookmarkStart w:id="46" w:name="_Toc15033761"/>
      <w:bookmarkStart w:id="47" w:name="_Toc102633988"/>
      <w:bookmarkStart w:id="48" w:name="_Toc102633914"/>
      <w:bookmarkStart w:id="49" w:name="_Toc102634414"/>
      <w:r>
        <w:t>第六章  安全对策措施及建议</w:t>
      </w:r>
      <w:bookmarkEnd w:id="44"/>
      <w:bookmarkEnd w:id="45"/>
      <w:bookmarkEnd w:id="46"/>
      <w:bookmarkEnd w:id="47"/>
      <w:bookmarkEnd w:id="48"/>
      <w:bookmarkEnd w:id="49"/>
    </w:p>
    <w:p w14:paraId="190D8ABB">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1"/>
        <w:rPr>
          <w:rFonts w:ascii="Calibri" w:hAnsi="Calibri" w:eastAsia="楷体_GB2312"/>
          <w:b/>
          <w:kern w:val="0"/>
          <w:sz w:val="32"/>
          <w:szCs w:val="20"/>
        </w:rPr>
      </w:pPr>
      <w:bookmarkStart w:id="50" w:name="_Toc339456079"/>
      <w:bookmarkStart w:id="51" w:name="_Toc225046264"/>
      <w:bookmarkStart w:id="52" w:name="_Toc348877039"/>
      <w:bookmarkStart w:id="53" w:name="_Toc102633989"/>
      <w:bookmarkStart w:id="54" w:name="_Toc102633915"/>
      <w:bookmarkStart w:id="55" w:name="_Toc15033762"/>
      <w:bookmarkStart w:id="56" w:name="_Toc102634277"/>
      <w:bookmarkStart w:id="57" w:name="_Toc102634415"/>
      <w:bookmarkStart w:id="58" w:name="_Toc242065302"/>
      <w:bookmarkStart w:id="59" w:name="_Toc4961"/>
      <w:r>
        <w:rPr>
          <w:rFonts w:ascii="Calibri" w:hAnsi="Calibri" w:eastAsia="楷体_GB2312"/>
          <w:b/>
          <w:kern w:val="0"/>
          <w:sz w:val="32"/>
          <w:szCs w:val="20"/>
        </w:rPr>
        <w:t xml:space="preserve">第一节 </w:t>
      </w:r>
      <w:bookmarkEnd w:id="50"/>
      <w:bookmarkEnd w:id="51"/>
      <w:r>
        <w:rPr>
          <w:rFonts w:ascii="Calibri" w:hAnsi="Calibri" w:eastAsia="楷体_GB2312"/>
          <w:b/>
          <w:kern w:val="0"/>
          <w:sz w:val="32"/>
          <w:szCs w:val="20"/>
        </w:rPr>
        <w:t>存在的问题及整改建议</w:t>
      </w:r>
      <w:bookmarkEnd w:id="52"/>
      <w:bookmarkEnd w:id="53"/>
      <w:bookmarkEnd w:id="54"/>
      <w:bookmarkEnd w:id="55"/>
      <w:bookmarkEnd w:id="56"/>
      <w:bookmarkEnd w:id="57"/>
      <w:bookmarkEnd w:id="58"/>
      <w:bookmarkEnd w:id="59"/>
    </w:p>
    <w:p w14:paraId="277D153B">
      <w:pPr>
        <w:keepLines w:val="0"/>
        <w:overflowPunct/>
        <w:bidi w:val="0"/>
        <w:adjustRightInd w:val="0"/>
        <w:snapToGrid w:val="0"/>
        <w:spacing w:line="360" w:lineRule="auto"/>
        <w:ind w:firstLine="560" w:firstLineChars="200"/>
        <w:rPr>
          <w:rFonts w:ascii="宋体"/>
          <w:kern w:val="0"/>
          <w:sz w:val="28"/>
          <w:szCs w:val="20"/>
        </w:rPr>
      </w:pPr>
      <w:bookmarkStart w:id="60" w:name="_Toc15033763"/>
      <w:bookmarkStart w:id="61" w:name="_Toc49590281"/>
      <w:r>
        <w:rPr>
          <w:rFonts w:ascii="宋体"/>
          <w:kern w:val="0"/>
          <w:sz w:val="28"/>
          <w:szCs w:val="20"/>
        </w:rPr>
        <w:t>通过现场检查和审查有关资料</w:t>
      </w:r>
      <w:r>
        <w:rPr>
          <w:rFonts w:hint="eastAsia" w:ascii="宋体"/>
          <w:kern w:val="0"/>
          <w:sz w:val="28"/>
          <w:szCs w:val="20"/>
        </w:rPr>
        <w:t>可以看出，该加油站发现以下问题：</w:t>
      </w:r>
    </w:p>
    <w:bookmarkEnd w:id="60"/>
    <w:bookmarkEnd w:id="61"/>
    <w:p w14:paraId="65F5F903">
      <w:pPr>
        <w:keepLines w:val="0"/>
        <w:widowControl/>
        <w:overflowPunct/>
        <w:bidi w:val="0"/>
        <w:adjustRightInd w:val="0"/>
        <w:snapToGrid w:val="0"/>
        <w:spacing w:line="360" w:lineRule="auto"/>
        <w:ind w:firstLine="480"/>
        <w:jc w:val="center"/>
        <w:textAlignment w:val="baseline"/>
        <w:rPr>
          <w:rFonts w:eastAsia="黑体"/>
          <w:kern w:val="0"/>
          <w:sz w:val="24"/>
          <w:szCs w:val="24"/>
          <w:u w:color="000000"/>
        </w:rPr>
      </w:pPr>
      <w:r>
        <w:rPr>
          <w:rFonts w:hint="eastAsia" w:ascii="黑体" w:hAnsi="黑体" w:eastAsia="黑体" w:cs="黑体"/>
          <w:kern w:val="0"/>
          <w:sz w:val="24"/>
          <w:szCs w:val="24"/>
          <w:u w:color="000000"/>
        </w:rPr>
        <w:t>表6.1-1</w:t>
      </w:r>
      <w:r>
        <w:rPr>
          <w:rFonts w:hint="eastAsia" w:eastAsia="黑体"/>
          <w:kern w:val="0"/>
          <w:sz w:val="24"/>
          <w:szCs w:val="24"/>
          <w:u w:color="000000"/>
        </w:rPr>
        <w:t xml:space="preserve">  现场存在问题表</w:t>
      </w:r>
    </w:p>
    <w:tbl>
      <w:tblPr>
        <w:tblStyle w:val="7"/>
        <w:tblW w:w="940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3845"/>
        <w:gridCol w:w="4740"/>
      </w:tblGrid>
      <w:tr w14:paraId="637AECA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3" w:hRule="atLeast"/>
          <w:tblHeader/>
          <w:jc w:val="center"/>
        </w:trPr>
        <w:tc>
          <w:tcPr>
            <w:tcW w:w="817" w:type="dxa"/>
            <w:vAlign w:val="center"/>
          </w:tcPr>
          <w:p w14:paraId="4064B4D1">
            <w:pPr>
              <w:keepNext w:val="0"/>
              <w:keepLines w:val="0"/>
              <w:pageBreakBefore w:val="0"/>
              <w:widowControl/>
              <w:tabs>
                <w:tab w:val="left" w:pos="6120"/>
              </w:tabs>
              <w:kinsoku/>
              <w:wordWrap/>
              <w:overflowPunct/>
              <w:topLinePunct w:val="0"/>
              <w:autoSpaceDE/>
              <w:autoSpaceDN/>
              <w:bidi w:val="0"/>
              <w:adjustRightInd w:val="0"/>
              <w:snapToGrid w:val="0"/>
              <w:spacing w:line="240" w:lineRule="auto"/>
              <w:ind w:firstLine="0"/>
              <w:jc w:val="center"/>
              <w:textAlignment w:val="baseline"/>
              <w:rPr>
                <w:rFonts w:ascii="宋体" w:hAnsi="宋体"/>
                <w:b/>
                <w:bCs/>
                <w:kern w:val="0"/>
                <w:position w:val="2"/>
                <w:u w:color="000000"/>
              </w:rPr>
            </w:pPr>
            <w:r>
              <w:rPr>
                <w:rFonts w:ascii="宋体" w:hAnsi="宋体"/>
                <w:b/>
                <w:bCs/>
                <w:kern w:val="0"/>
                <w:position w:val="2"/>
                <w:u w:color="000000"/>
              </w:rPr>
              <w:t>序号</w:t>
            </w:r>
          </w:p>
        </w:tc>
        <w:tc>
          <w:tcPr>
            <w:tcW w:w="3845" w:type="dxa"/>
            <w:vAlign w:val="center"/>
          </w:tcPr>
          <w:p w14:paraId="38F44F83">
            <w:pPr>
              <w:keepNext w:val="0"/>
              <w:keepLines w:val="0"/>
              <w:pageBreakBefore w:val="0"/>
              <w:widowControl/>
              <w:tabs>
                <w:tab w:val="left" w:pos="6120"/>
              </w:tabs>
              <w:kinsoku/>
              <w:wordWrap/>
              <w:overflowPunct/>
              <w:topLinePunct w:val="0"/>
              <w:autoSpaceDE/>
              <w:autoSpaceDN/>
              <w:bidi w:val="0"/>
              <w:adjustRightInd w:val="0"/>
              <w:snapToGrid w:val="0"/>
              <w:spacing w:line="240" w:lineRule="auto"/>
              <w:ind w:firstLine="0"/>
              <w:jc w:val="center"/>
              <w:textAlignment w:val="baseline"/>
              <w:rPr>
                <w:rFonts w:ascii="宋体" w:hAnsi="宋体"/>
                <w:b/>
                <w:bCs/>
                <w:kern w:val="0"/>
                <w:position w:val="2"/>
                <w:u w:color="000000"/>
              </w:rPr>
            </w:pPr>
            <w:r>
              <w:rPr>
                <w:rFonts w:ascii="宋体" w:hAnsi="宋体"/>
                <w:b/>
                <w:bCs/>
                <w:kern w:val="0"/>
                <w:position w:val="2"/>
                <w:u w:color="000000"/>
              </w:rPr>
              <w:t>企业存在的问题</w:t>
            </w:r>
          </w:p>
        </w:tc>
        <w:tc>
          <w:tcPr>
            <w:tcW w:w="4740" w:type="dxa"/>
            <w:vAlign w:val="center"/>
          </w:tcPr>
          <w:p w14:paraId="584F2B72">
            <w:pPr>
              <w:keepNext w:val="0"/>
              <w:keepLines w:val="0"/>
              <w:pageBreakBefore w:val="0"/>
              <w:widowControl/>
              <w:tabs>
                <w:tab w:val="left" w:pos="6120"/>
              </w:tabs>
              <w:kinsoku/>
              <w:wordWrap/>
              <w:overflowPunct/>
              <w:topLinePunct w:val="0"/>
              <w:autoSpaceDE/>
              <w:autoSpaceDN/>
              <w:bidi w:val="0"/>
              <w:adjustRightInd w:val="0"/>
              <w:snapToGrid w:val="0"/>
              <w:spacing w:line="240" w:lineRule="auto"/>
              <w:ind w:firstLine="0"/>
              <w:jc w:val="center"/>
              <w:textAlignment w:val="baseline"/>
              <w:rPr>
                <w:rFonts w:ascii="宋体" w:hAnsi="宋体"/>
                <w:b/>
                <w:bCs/>
                <w:kern w:val="0"/>
                <w:position w:val="2"/>
                <w:u w:color="000000"/>
              </w:rPr>
            </w:pPr>
            <w:r>
              <w:rPr>
                <w:rFonts w:ascii="宋体" w:hAnsi="宋体"/>
                <w:b/>
                <w:bCs/>
                <w:kern w:val="0"/>
                <w:position w:val="2"/>
                <w:u w:color="000000"/>
              </w:rPr>
              <w:t>整改建议措施</w:t>
            </w:r>
          </w:p>
        </w:tc>
      </w:tr>
      <w:tr w14:paraId="3936E7C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B869A31">
            <w:pPr>
              <w:keepNext w:val="0"/>
              <w:keepLines w:val="0"/>
              <w:pageBreakBefore w:val="0"/>
              <w:widowControl/>
              <w:tabs>
                <w:tab w:val="left" w:pos="6120"/>
              </w:tabs>
              <w:kinsoku/>
              <w:wordWrap/>
              <w:overflowPunct/>
              <w:topLinePunct w:val="0"/>
              <w:autoSpaceDE/>
              <w:autoSpaceDN/>
              <w:bidi w:val="0"/>
              <w:adjustRightInd w:val="0"/>
              <w:snapToGrid w:val="0"/>
              <w:spacing w:line="240" w:lineRule="auto"/>
              <w:ind w:firstLine="0"/>
              <w:jc w:val="center"/>
              <w:textAlignment w:val="baseline"/>
              <w:rPr>
                <w:rFonts w:ascii="宋体" w:hAnsi="宋体"/>
                <w:bCs/>
                <w:kern w:val="0"/>
                <w:position w:val="2"/>
                <w:u w:color="000000"/>
              </w:rPr>
            </w:pPr>
            <w:r>
              <w:rPr>
                <w:rFonts w:hint="eastAsia" w:ascii="宋体" w:hAnsi="宋体"/>
                <w:bCs/>
                <w:kern w:val="0"/>
                <w:position w:val="2"/>
                <w:u w:color="000000"/>
              </w:rPr>
              <w:t>1</w:t>
            </w:r>
          </w:p>
        </w:tc>
        <w:tc>
          <w:tcPr>
            <w:tcW w:w="3845" w:type="dxa"/>
            <w:vAlign w:val="center"/>
          </w:tcPr>
          <w:p w14:paraId="6D4DE9F6">
            <w:pPr>
              <w:keepNext w:val="0"/>
              <w:keepLines w:val="0"/>
              <w:pageBreakBefore w:val="0"/>
              <w:widowControl/>
              <w:kinsoku/>
              <w:wordWrap/>
              <w:overflowPunct/>
              <w:topLinePunct w:val="0"/>
              <w:autoSpaceDE/>
              <w:autoSpaceDN/>
              <w:bidi w:val="0"/>
              <w:adjustRightInd w:val="0"/>
              <w:snapToGrid w:val="0"/>
              <w:spacing w:line="240" w:lineRule="auto"/>
              <w:ind w:firstLine="0"/>
              <w:jc w:val="center"/>
              <w:textAlignment w:val="baseline"/>
              <w:rPr>
                <w:rFonts w:ascii="宋体" w:hAnsi="宋体"/>
                <w:kern w:val="0"/>
                <w:u w:color="000000"/>
              </w:rPr>
            </w:pPr>
            <w:r>
              <w:rPr>
                <w:rFonts w:hint="eastAsia"/>
                <w:lang w:val="en-US" w:eastAsia="zh-CN"/>
              </w:rPr>
              <w:t>站区警示标识不足。</w:t>
            </w:r>
          </w:p>
        </w:tc>
        <w:tc>
          <w:tcPr>
            <w:tcW w:w="4740" w:type="dxa"/>
            <w:vAlign w:val="center"/>
          </w:tcPr>
          <w:p w14:paraId="24515820">
            <w:pPr>
              <w:keepNext w:val="0"/>
              <w:keepLines w:val="0"/>
              <w:pageBreakBefore w:val="0"/>
              <w:widowControl/>
              <w:kinsoku/>
              <w:wordWrap/>
              <w:overflowPunct/>
              <w:topLinePunct w:val="0"/>
              <w:autoSpaceDE/>
              <w:autoSpaceDN/>
              <w:bidi w:val="0"/>
              <w:adjustRightInd w:val="0"/>
              <w:snapToGrid w:val="0"/>
              <w:spacing w:line="240" w:lineRule="auto"/>
              <w:ind w:firstLine="0"/>
              <w:jc w:val="center"/>
              <w:textAlignment w:val="baseline"/>
              <w:rPr>
                <w:rFonts w:ascii="宋体" w:hAnsi="宋体"/>
                <w:kern w:val="0"/>
                <w:u w:color="000000"/>
              </w:rPr>
            </w:pPr>
            <w:r>
              <w:rPr>
                <w:rFonts w:hint="eastAsia"/>
                <w:lang w:val="en-US" w:eastAsia="zh-CN"/>
              </w:rPr>
              <w:t>应补充警示标识。</w:t>
            </w:r>
          </w:p>
        </w:tc>
      </w:tr>
    </w:tbl>
    <w:p w14:paraId="0404CC89">
      <w:pPr>
        <w:pStyle w:val="3"/>
        <w:rPr>
          <w:rFonts w:hint="eastAsia" w:ascii="宋体"/>
          <w:color w:val="auto"/>
          <w:kern w:val="0"/>
          <w:sz w:val="28"/>
          <w:szCs w:val="20"/>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kern w:val="0"/>
          <w:sz w:val="28"/>
          <w:szCs w:val="20"/>
        </w:rPr>
        <w:t>该加油站将上述问题整改合格后，在安全管理、站址选择及总平面布置、加油工艺及设施、其它设施等方面符合有关法律、标准规范的要求</w:t>
      </w:r>
      <w:r>
        <w:rPr>
          <w:rFonts w:hint="eastAsia" w:ascii="宋体"/>
          <w:color w:val="auto"/>
          <w:kern w:val="0"/>
          <w:sz w:val="28"/>
          <w:szCs w:val="20"/>
        </w:rPr>
        <w:t>。</w:t>
      </w:r>
    </w:p>
    <w:p w14:paraId="7FAC2E7F">
      <w:pPr>
        <w:pStyle w:val="3"/>
        <w:spacing w:line="240" w:lineRule="auto"/>
        <w:ind w:left="0" w:leftChars="0" w:firstLine="0" w:firstLineChars="0"/>
        <w:rPr>
          <w:rFonts w:hint="default" w:ascii="宋体"/>
          <w:color w:val="auto"/>
          <w:kern w:val="0"/>
          <w:sz w:val="28"/>
          <w:szCs w:val="20"/>
          <w:lang w:val="en-US" w:eastAsia="zh-CN"/>
        </w:rPr>
      </w:pPr>
      <w:r>
        <w:rPr>
          <w:rFonts w:hint="default" w:ascii="宋体"/>
          <w:color w:val="auto"/>
          <w:kern w:val="0"/>
          <w:sz w:val="28"/>
          <w:szCs w:val="20"/>
          <w:lang w:val="en-US" w:eastAsia="zh-CN"/>
        </w:rPr>
        <w:drawing>
          <wp:inline distT="0" distB="0" distL="114300" distR="114300">
            <wp:extent cx="5741670" cy="8870315"/>
            <wp:effectExtent l="0" t="0" r="11430" b="6985"/>
            <wp:docPr id="10" name="图片 1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
                    <pic:cNvPicPr>
                      <a:picLocks noChangeAspect="1"/>
                    </pic:cNvPicPr>
                  </pic:nvPicPr>
                  <pic:blipFill>
                    <a:blip r:embed="rId6"/>
                    <a:stretch>
                      <a:fillRect/>
                    </a:stretch>
                  </pic:blipFill>
                  <pic:spPr>
                    <a:xfrm>
                      <a:off x="0" y="0"/>
                      <a:ext cx="5741670" cy="8870315"/>
                    </a:xfrm>
                    <a:prstGeom prst="rect">
                      <a:avLst/>
                    </a:prstGeom>
                  </pic:spPr>
                </pic:pic>
              </a:graphicData>
            </a:graphic>
          </wp:inline>
        </w:drawing>
      </w:r>
      <w:bookmarkStart w:id="62" w:name="_GoBack"/>
      <w:r>
        <w:rPr>
          <w:rFonts w:hint="default" w:ascii="宋体"/>
          <w:color w:val="auto"/>
          <w:kern w:val="0"/>
          <w:sz w:val="28"/>
          <w:szCs w:val="20"/>
          <w:lang w:val="en-US" w:eastAsia="zh-CN"/>
        </w:rPr>
        <w:drawing>
          <wp:inline distT="0" distB="0" distL="114300" distR="114300">
            <wp:extent cx="5591175" cy="8881110"/>
            <wp:effectExtent l="0" t="0" r="9525" b="15240"/>
            <wp:docPr id="9" name="图片 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
                    <pic:cNvPicPr>
                      <a:picLocks noChangeAspect="1"/>
                    </pic:cNvPicPr>
                  </pic:nvPicPr>
                  <pic:blipFill>
                    <a:blip r:embed="rId7"/>
                    <a:stretch>
                      <a:fillRect/>
                    </a:stretch>
                  </pic:blipFill>
                  <pic:spPr>
                    <a:xfrm>
                      <a:off x="0" y="0"/>
                      <a:ext cx="5591175" cy="8881110"/>
                    </a:xfrm>
                    <a:prstGeom prst="rect">
                      <a:avLst/>
                    </a:prstGeom>
                  </pic:spPr>
                </pic:pic>
              </a:graphicData>
            </a:graphic>
          </wp:inline>
        </w:drawing>
      </w:r>
      <w:bookmarkEnd w:id="62"/>
    </w:p>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yN2NlOGVhYmMyMmY2ZjU2NWRlMjUwNzMzOGE0MTYifQ=="/>
  </w:docVars>
  <w:rsids>
    <w:rsidRoot w:val="35CC29B8"/>
    <w:rsid w:val="03B21DD7"/>
    <w:rsid w:val="03CC63D7"/>
    <w:rsid w:val="09D5345C"/>
    <w:rsid w:val="0A27015B"/>
    <w:rsid w:val="0BD51C61"/>
    <w:rsid w:val="0EDC1223"/>
    <w:rsid w:val="13D12EE6"/>
    <w:rsid w:val="153C4810"/>
    <w:rsid w:val="16BC1C2B"/>
    <w:rsid w:val="1E1E483E"/>
    <w:rsid w:val="22CB7136"/>
    <w:rsid w:val="284F788D"/>
    <w:rsid w:val="2A9D36CA"/>
    <w:rsid w:val="2EB02BD7"/>
    <w:rsid w:val="2EC41433"/>
    <w:rsid w:val="335F1F61"/>
    <w:rsid w:val="355F439E"/>
    <w:rsid w:val="35CC29B8"/>
    <w:rsid w:val="3B343FFC"/>
    <w:rsid w:val="3BB85D78"/>
    <w:rsid w:val="420C1409"/>
    <w:rsid w:val="4706325F"/>
    <w:rsid w:val="48FE4AE5"/>
    <w:rsid w:val="4B7D0EF4"/>
    <w:rsid w:val="537F016A"/>
    <w:rsid w:val="54F4335B"/>
    <w:rsid w:val="563D798B"/>
    <w:rsid w:val="567C6788"/>
    <w:rsid w:val="579A241E"/>
    <w:rsid w:val="5AB85F0C"/>
    <w:rsid w:val="5E953707"/>
    <w:rsid w:val="68772688"/>
    <w:rsid w:val="6AD40467"/>
    <w:rsid w:val="6BF95CAB"/>
    <w:rsid w:val="6D0669CA"/>
    <w:rsid w:val="717A11AE"/>
    <w:rsid w:val="72FD2CFB"/>
    <w:rsid w:val="73C95CFD"/>
    <w:rsid w:val="74F77EEF"/>
    <w:rsid w:val="7772596D"/>
    <w:rsid w:val="7AB02F22"/>
    <w:rsid w:val="7EA90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pPr>
  </w:style>
  <w:style w:type="paragraph" w:styleId="3">
    <w:name w:val="Body Text"/>
    <w:basedOn w:val="1"/>
    <w:qFormat/>
    <w:uiPriority w:val="99"/>
    <w:pPr>
      <w:widowControl/>
      <w:spacing w:line="520" w:lineRule="exact"/>
      <w:ind w:firstLine="200" w:firstLineChars="200"/>
      <w:textAlignment w:val="baseline"/>
    </w:pPr>
    <w:rPr>
      <w:rFonts w:ascii="宋体" w:hAnsi="宋体"/>
      <w:color w:val="000000"/>
      <w:spacing w:val="10"/>
      <w:kern w:val="0"/>
      <w:sz w:val="24"/>
      <w:szCs w:val="24"/>
      <w:u w:color="000000"/>
    </w:rPr>
  </w:style>
  <w:style w:type="paragraph" w:styleId="4">
    <w:name w:val="Body Text Indent"/>
    <w:basedOn w:val="1"/>
    <w:qFormat/>
    <w:uiPriority w:val="0"/>
    <w:pPr>
      <w:spacing w:after="120"/>
      <w:ind w:left="420" w:leftChars="200"/>
    </w:pPr>
  </w:style>
  <w:style w:type="paragraph" w:styleId="5">
    <w:name w:val="Plain Text"/>
    <w:basedOn w:val="1"/>
    <w:unhideWhenUsed/>
    <w:qFormat/>
    <w:uiPriority w:val="99"/>
    <w:rPr>
      <w:rFonts w:ascii="宋体" w:hAnsi="Courier New"/>
      <w:kern w:val="0"/>
      <w:sz w:val="20"/>
      <w:szCs w:val="20"/>
    </w:rPr>
  </w:style>
  <w:style w:type="paragraph" w:styleId="6">
    <w:name w:val="Body Text First Indent 2"/>
    <w:basedOn w:val="4"/>
    <w:next w:val="1"/>
    <w:qFormat/>
    <w:uiPriority w:val="0"/>
    <w:pPr>
      <w:tabs>
        <w:tab w:val="left" w:pos="6120"/>
      </w:tabs>
      <w:spacing w:line="520" w:lineRule="exact"/>
      <w:ind w:left="0" w:leftChars="0"/>
    </w:pPr>
    <w:rPr>
      <w:rFonts w:ascii="黑体" w:hAnsi="黑体" w:eastAsia="黑体" w:cs="宋体"/>
      <w:sz w:val="28"/>
      <w:szCs w:val="24"/>
    </w:rPr>
  </w:style>
  <w:style w:type="paragraph" w:customStyle="1" w:styleId="9">
    <w:name w:val="111"/>
    <w:basedOn w:val="10"/>
    <w:qFormat/>
    <w:uiPriority w:val="0"/>
    <w:pPr>
      <w:widowControl/>
      <w:spacing w:beforeAutospacing="0" w:afterAutospacing="0"/>
      <w:jc w:val="left"/>
    </w:pPr>
    <w:rPr>
      <w:rFonts w:ascii="宋体" w:hAnsi="宋体" w:eastAsia="宋体" w:cs="宋体"/>
      <w:kern w:val="0"/>
      <w:sz w:val="24"/>
      <w:szCs w:val="24"/>
    </w:rPr>
  </w:style>
  <w:style w:type="paragraph" w:customStyle="1" w:styleId="10">
    <w:name w:val="题目"/>
    <w:basedOn w:val="1"/>
    <w:qFormat/>
    <w:uiPriority w:val="0"/>
    <w:pPr>
      <w:jc w:val="center"/>
      <w:outlineLvl w:val="0"/>
    </w:pPr>
    <w:rPr>
      <w:rFonts w:ascii="黑体" w:hAnsi="黑体" w:eastAsia="黑体"/>
      <w:sz w:val="32"/>
      <w:szCs w:val="32"/>
    </w:rPr>
  </w:style>
  <w:style w:type="paragraph" w:customStyle="1" w:styleId="11">
    <w:name w:val="Table Text"/>
    <w:basedOn w:val="1"/>
    <w:semiHidden/>
    <w:qFormat/>
    <w:uiPriority w:val="0"/>
    <w:rPr>
      <w:rFonts w:ascii="宋体" w:hAnsi="宋体" w:eastAsia="宋体" w:cs="宋体"/>
      <w:sz w:val="20"/>
      <w:szCs w:val="20"/>
      <w:lang w:val="en-US" w:eastAsia="en-US" w:bidi="ar-SA"/>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6评价正文"/>
    <w:qFormat/>
    <w:uiPriority w:val="0"/>
    <w:pPr>
      <w:spacing w:line="520" w:lineRule="exact"/>
      <w:ind w:firstLine="200" w:firstLineChars="200"/>
      <w:jc w:val="both"/>
    </w:pPr>
    <w:rPr>
      <w:rFonts w:ascii="Times New Roman" w:hAnsi="Times New Roman" w:eastAsia="宋体" w:cs="Times New Roman"/>
      <w:sz w:val="28"/>
      <w:lang w:val="en-US" w:eastAsia="zh-CN" w:bidi="ar-SA"/>
    </w:rPr>
  </w:style>
  <w:style w:type="paragraph" w:customStyle="1" w:styleId="14">
    <w:name w:val="1评价标题"/>
    <w:qFormat/>
    <w:uiPriority w:val="0"/>
    <w:pPr>
      <w:pageBreakBefore/>
      <w:spacing w:before="100" w:beforeLines="100" w:after="100" w:afterLines="100" w:line="520" w:lineRule="exact"/>
      <w:jc w:val="center"/>
      <w:outlineLvl w:val="0"/>
    </w:pPr>
    <w:rPr>
      <w:rFonts w:ascii="Times New Roman" w:hAnsi="Times New Roman" w:eastAsia="黑体" w:cs="Times New Roman"/>
      <w:kern w:val="2"/>
      <w:sz w:val="32"/>
      <w:szCs w:val="21"/>
      <w:lang w:val="en-US" w:eastAsia="zh-CN" w:bidi="ar-SA"/>
    </w:rPr>
  </w:style>
  <w:style w:type="paragraph" w:customStyle="1" w:styleId="15">
    <w:name w:val="5标题评价表格"/>
    <w:qFormat/>
    <w:uiPriority w:val="0"/>
    <w:pPr>
      <w:spacing w:line="520" w:lineRule="exact"/>
      <w:jc w:val="center"/>
      <w:outlineLvl w:val="4"/>
    </w:pPr>
    <w:rPr>
      <w:rFonts w:ascii="Times New Roman" w:hAnsi="Times New Roman" w:eastAsia="黑体" w:cs="Times New Roman"/>
      <w:kern w:val="2"/>
      <w:sz w:val="24"/>
      <w:szCs w:val="28"/>
      <w:u w:color="000000"/>
      <w:lang w:val="en-US" w:eastAsia="zh-CN" w:bidi="ar-SA"/>
    </w:rPr>
  </w:style>
  <w:style w:type="paragraph" w:customStyle="1" w:styleId="16">
    <w:name w:val="5内容评价表格"/>
    <w:qFormat/>
    <w:uiPriority w:val="0"/>
    <w:pPr>
      <w:spacing w:line="300" w:lineRule="exact"/>
      <w:jc w:val="center"/>
    </w:pPr>
    <w:rPr>
      <w:rFonts w:ascii="Times New Roman" w:hAnsi="Times New Roman" w:eastAsia="宋体" w:cs="Times New Roman"/>
      <w:kern w:val="2"/>
      <w:sz w:val="21"/>
      <w:szCs w:val="21"/>
      <w:u w:color="000000"/>
      <w:lang w:val="en-US" w:eastAsia="zh-CN" w:bidi="ar-SA"/>
    </w:rPr>
  </w:style>
  <w:style w:type="paragraph" w:customStyle="1" w:styleId="17">
    <w:name w:val="7评价备注"/>
    <w:qFormat/>
    <w:uiPriority w:val="0"/>
    <w:pPr>
      <w:spacing w:line="400" w:lineRule="exact"/>
      <w:ind w:firstLine="200" w:firstLineChars="200"/>
    </w:pPr>
    <w:rPr>
      <w:rFonts w:ascii="Times New Roman" w:hAnsi="Times New Roman" w:eastAsia="黑体" w:cs="Times New Roman"/>
      <w:spacing w:val="4"/>
      <w:kern w:val="2"/>
      <w:sz w:val="21"/>
      <w:szCs w:val="24"/>
      <w:lang w:val="en-US" w:eastAsia="zh-CN" w:bidi="ar-SA"/>
    </w:rPr>
  </w:style>
  <w:style w:type="paragraph" w:customStyle="1" w:styleId="18">
    <w:name w:val="3评价标题"/>
    <w:qFormat/>
    <w:uiPriority w:val="0"/>
    <w:pPr>
      <w:spacing w:line="520" w:lineRule="exact"/>
      <w:ind w:firstLine="200" w:firstLineChars="200"/>
      <w:outlineLvl w:val="2"/>
    </w:pPr>
    <w:rPr>
      <w:rFonts w:ascii="Times New Roman" w:hAnsi="Times New Roman" w:eastAsia="黑体" w:cs="Times New Roman"/>
      <w:sz w:val="28"/>
      <w:u w:color="000000"/>
      <w:lang w:val="en-US" w:eastAsia="zh-CN" w:bidi="ar-SA"/>
    </w:rPr>
  </w:style>
  <w:style w:type="paragraph" w:customStyle="1" w:styleId="19">
    <w:name w:val="表内文字"/>
    <w:basedOn w:val="5"/>
    <w:qFormat/>
    <w:uiPriority w:val="0"/>
    <w:pPr>
      <w:spacing w:line="320" w:lineRule="exact"/>
      <w:jc w:val="center"/>
    </w:pPr>
    <w:rPr>
      <w:rFonts w:ascii="Times New Roman" w:hAnsi="Times New Roman"/>
      <w:kern w:val="2"/>
      <w:sz w:val="21"/>
      <w:szCs w:val="21"/>
      <w:u w:color="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3188</Words>
  <Characters>3547</Characters>
  <Lines>0</Lines>
  <Paragraphs>0</Paragraphs>
  <TotalTime>2</TotalTime>
  <ScaleCrop>false</ScaleCrop>
  <LinksUpToDate>false</LinksUpToDate>
  <CharactersWithSpaces>3578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2023-09-27T02:48:00Z</dcterms:created>
  <dc:creator>天舞</dc:creator>
  <cp:lastModifiedBy>Administrator</cp:lastModifiedBy>
  <dcterms:modified xsi:type="dcterms:W3CDTF">2025-03-11T08:51:22Z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158E41C4130D45F7BB2A42425FB8946B_11</vt:lpwstr>
  </property>
  <property fmtid="{D5CDD505-2E9C-101B-9397-08002B2CF9AE}" pid="4" name="KSOTemplateDocerSaveRecord">
    <vt:lpwstr>eyJoZGlkIjoiZDAyN2NlOGVhYmMyMmY2ZjU2NWRlMjUwNzMzOGE0MTYiLCJ1c2VySWQiOiIxNTA4ODg5MTM0In0=</vt:lpwstr>
  </property>
</Properties>
</file>