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新泰市后羊村加油站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3DFE3F25">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新泰市后羊村加油站位于新泰市翟镇后羊村北邻济临路北侧，该站西侧为支路，东侧为宿舍、汽修厂，北侧为煤厂民房，南侧为S103省道。该站经营许可范围为汽油、乙醇汽油、柴油，现其主要储存经营汽油、柴油（0#与-10#换季销售），乙醇汽油暂未储存经营。此次现状评价报告与上次报告相比，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中部，加油区在站房南侧，现有2台双枪加油机、2台单枪加油机（2台双枪92#/0#汽柴油加油机、1台92#汽油单枪加油机、1台95#汽油单枪加油机），均为自吸式；油罐区布置在站房北侧，自西向东分别为：1台20m³柴油罐、2台20m³92#汽油罐，最东侧为1台12m³柴油罐、1台12m³95#汽油罐南北布置，汽油、柴油卸油口均位于罐区西侧，罐区内东北侧共有通气管4根（含油气回收装置通气管）；按《汽车加油加气加氢站技术标准》GB50156-2021标准规定：V=52+32/2=68m3，该站属三级加油站；该站汽油设有卸油油气回收系统、加油油气回收系统及油气回收装置（三次油气回收系统）；加油区南侧设有1处磅房及地磅。</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2025.01.02</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2025.01.08</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2025.01.09</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2ABB47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E76A09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217E0F5">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2025.01.10</w:t>
            </w:r>
          </w:p>
        </w:tc>
        <w:tc>
          <w:tcPr>
            <w:tcW w:w="2350" w:type="dxa"/>
            <w:tcBorders>
              <w:tl2br w:val="nil"/>
              <w:tr2bl w:val="nil"/>
            </w:tcBorders>
            <w:shd w:val="clear" w:color="auto" w:fill="auto"/>
            <w:noWrap/>
            <w:vAlign w:val="center"/>
          </w:tcPr>
          <w:p w14:paraId="4E97D39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62B37A45">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现场核查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安全评价报告提交时间：2025.01.14</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A3A971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161B325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5EE59B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新泰市后羊村加油站安全现状评价现场照片</w:t>
      </w:r>
    </w:p>
    <w:p w14:paraId="579F1E9B">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721985" cy="4291330"/>
            <wp:effectExtent l="0" t="0" r="12065" b="13970"/>
            <wp:docPr id="2" name="图片 2" descr="IMG_20250109_16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109_161907"/>
                    <pic:cNvPicPr>
                      <a:picLocks noChangeAspect="1"/>
                    </pic:cNvPicPr>
                  </pic:nvPicPr>
                  <pic:blipFill>
                    <a:blip r:embed="rId4"/>
                    <a:stretch>
                      <a:fillRect/>
                    </a:stretch>
                  </pic:blipFill>
                  <pic:spPr>
                    <a:xfrm>
                      <a:off x="0" y="0"/>
                      <a:ext cx="5721985" cy="4291330"/>
                    </a:xfrm>
                    <a:prstGeom prst="rect">
                      <a:avLst/>
                    </a:prstGeom>
                  </pic:spPr>
                </pic:pic>
              </a:graphicData>
            </a:graphic>
          </wp:inline>
        </w:drawing>
      </w:r>
      <w:r>
        <w:rPr>
          <w:rFonts w:hint="default"/>
          <w:lang w:val="en-US" w:eastAsia="zh-CN"/>
        </w:rPr>
        <w:drawing>
          <wp:inline distT="0" distB="0" distL="114300" distR="114300">
            <wp:extent cx="5758815" cy="4319270"/>
            <wp:effectExtent l="0" t="0" r="13335" b="5080"/>
            <wp:docPr id="1" name="图片 1" descr="IMG_20250109_16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109_161955"/>
                    <pic:cNvPicPr>
                      <a:picLocks noChangeAspect="1"/>
                    </pic:cNvPicPr>
                  </pic:nvPicPr>
                  <pic:blipFill>
                    <a:blip r:embed="rId5"/>
                    <a:stretch>
                      <a:fillRect/>
                    </a:stretch>
                  </pic:blipFill>
                  <pic:spPr>
                    <a:xfrm>
                      <a:off x="0" y="0"/>
                      <a:ext cx="5758815" cy="4319270"/>
                    </a:xfrm>
                    <a:prstGeom prst="rect">
                      <a:avLst/>
                    </a:prstGeom>
                  </pic:spPr>
                </pic:pic>
              </a:graphicData>
            </a:graphic>
          </wp:inline>
        </w:drawing>
      </w:r>
    </w:p>
    <w:p w14:paraId="16CDF603">
      <w:pPr>
        <w:pStyle w:val="14"/>
        <w:widowControl w:val="0"/>
        <w:adjustRightInd w:val="0"/>
        <w:snapToGrid w:val="0"/>
        <w:spacing w:before="468" w:beforeLines="150" w:after="156" w:afterLines="50" w:line="360" w:lineRule="auto"/>
      </w:pPr>
      <w:bookmarkStart w:id="0" w:name="_Toc102633895"/>
      <w:bookmarkStart w:id="1" w:name="_Toc102634395"/>
      <w:bookmarkStart w:id="2" w:name="_Toc102634226"/>
      <w:bookmarkStart w:id="3" w:name="_Toc15033742"/>
      <w:bookmarkStart w:id="4" w:name="_Toc102633969"/>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102634227"/>
      <w:bookmarkStart w:id="6" w:name="_Toc102634396"/>
      <w:bookmarkStart w:id="7" w:name="_Toc102633970"/>
      <w:bookmarkStart w:id="8" w:name="_Toc26504"/>
      <w:bookmarkStart w:id="9" w:name="_Toc30066"/>
      <w:bookmarkStart w:id="10" w:name="_Toc272364524"/>
      <w:bookmarkStart w:id="11" w:name="_Toc15033743"/>
      <w:bookmarkStart w:id="12" w:name="_Toc102633896"/>
      <w:bookmarkStart w:id="13" w:name="_Toc20873385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71621422">
      <w:pPr>
        <w:pStyle w:val="13"/>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Cs w:val="28"/>
          <w:lang w:eastAsia="zh-CN"/>
        </w:rPr>
        <w:t>新泰市后羊村加油站位于新泰市翟镇后羊村北邻济临路北侧，该站西侧为支路，东侧为宿舍、汽修厂，北侧为煤厂民房，南侧为S103省道。该站经营许可范围为汽油、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柴油，现其主要储存经营汽油、柴油（0#与-10#换季销售），</w:t>
      </w:r>
      <w:r>
        <w:rPr>
          <w:rFonts w:hint="eastAsia" w:ascii="宋体" w:hAnsi="宋体"/>
          <w:szCs w:val="28"/>
          <w:lang w:val="en-US" w:eastAsia="zh-CN"/>
        </w:rPr>
        <w:t>乙醇汽油暂未储存经营</w:t>
      </w:r>
      <w:r>
        <w:rPr>
          <w:rFonts w:hint="eastAsia" w:ascii="宋体" w:hAnsi="宋体"/>
          <w:szCs w:val="28"/>
        </w:rPr>
        <w:t>。</w:t>
      </w:r>
      <w:r>
        <w:rPr>
          <w:rFonts w:hint="eastAsia" w:ascii="宋体" w:hAnsi="宋体"/>
          <w:szCs w:val="28"/>
          <w:lang w:val="en-US" w:eastAsia="zh-CN"/>
        </w:rPr>
        <w:t>此次现状评价报告与上次报告相比，周边环境、站内设备设施、主要建构筑物均未发生变化。</w:t>
      </w:r>
    </w:p>
    <w:p w14:paraId="40C1F8C8">
      <w:pPr>
        <w:pStyle w:val="13"/>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站区中部</w:t>
      </w:r>
      <w:r>
        <w:rPr>
          <w:rFonts w:hint="eastAsia" w:ascii="宋体" w:hAnsi="宋体"/>
          <w:szCs w:val="28"/>
        </w:rPr>
        <w:t>，加油区在</w:t>
      </w:r>
      <w:r>
        <w:rPr>
          <w:rFonts w:hint="eastAsia" w:ascii="宋体" w:hAnsi="宋体"/>
          <w:szCs w:val="28"/>
          <w:lang w:val="en-US" w:eastAsia="zh-CN"/>
        </w:rPr>
        <w:t>站房南</w:t>
      </w:r>
      <w:r>
        <w:rPr>
          <w:rFonts w:hint="eastAsia" w:ascii="宋体" w:hAnsi="宋体"/>
          <w:szCs w:val="28"/>
        </w:rPr>
        <w:t>侧，现有</w:t>
      </w:r>
      <w:r>
        <w:rPr>
          <w:rFonts w:hint="eastAsia" w:ascii="宋体" w:hAnsi="宋体"/>
          <w:szCs w:val="28"/>
          <w:lang w:val="en-US" w:eastAsia="zh-CN"/>
        </w:rPr>
        <w:t>2</w:t>
      </w:r>
      <w:r>
        <w:rPr>
          <w:rFonts w:hint="eastAsia" w:ascii="宋体" w:hAnsi="宋体"/>
          <w:szCs w:val="28"/>
        </w:rPr>
        <w:t>台双枪加油机</w:t>
      </w:r>
      <w:r>
        <w:rPr>
          <w:rFonts w:hint="eastAsia" w:ascii="宋体" w:hAnsi="宋体"/>
          <w:szCs w:val="28"/>
          <w:lang w:eastAsia="zh-CN"/>
        </w:rPr>
        <w:t>、</w:t>
      </w:r>
      <w:r>
        <w:rPr>
          <w:rFonts w:hint="eastAsia" w:ascii="宋体" w:hAnsi="宋体"/>
          <w:szCs w:val="28"/>
          <w:lang w:val="en-US" w:eastAsia="zh-CN"/>
        </w:rPr>
        <w:t>2台单枪加油机</w:t>
      </w:r>
      <w:r>
        <w:rPr>
          <w:rFonts w:hint="eastAsia" w:ascii="宋体" w:hAnsi="宋体"/>
          <w:szCs w:val="28"/>
          <w:lang w:eastAsia="zh-CN"/>
        </w:rPr>
        <w:t>（2台双枪92#/0#汽柴油加油机、1台92#汽油单枪加油机、1台95#汽油单枪加油机）</w:t>
      </w:r>
      <w:r>
        <w:rPr>
          <w:rFonts w:hint="eastAsia" w:ascii="宋体" w:hAnsi="宋体"/>
          <w:szCs w:val="28"/>
        </w:rPr>
        <w:t>，均为</w:t>
      </w:r>
      <w:r>
        <w:rPr>
          <w:rFonts w:hint="eastAsia" w:ascii="宋体" w:hAnsi="宋体"/>
          <w:szCs w:val="28"/>
          <w:lang w:val="en-US" w:eastAsia="zh-CN"/>
        </w:rPr>
        <w:t>自吸</w:t>
      </w:r>
      <w:r>
        <w:rPr>
          <w:rFonts w:hint="eastAsia" w:ascii="宋体" w:hAnsi="宋体"/>
          <w:szCs w:val="28"/>
        </w:rPr>
        <w:t>式；</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站房北</w:t>
      </w:r>
      <w:r>
        <w:rPr>
          <w:rFonts w:hint="eastAsia" w:ascii="宋体" w:hAnsi="宋体"/>
          <w:szCs w:val="28"/>
        </w:rPr>
        <w:t>侧，自</w:t>
      </w:r>
      <w:r>
        <w:rPr>
          <w:rFonts w:hint="eastAsia" w:ascii="宋体" w:hAnsi="宋体"/>
          <w:szCs w:val="28"/>
          <w:lang w:val="en-US" w:eastAsia="zh-CN"/>
        </w:rPr>
        <w:t>西</w:t>
      </w:r>
      <w:r>
        <w:rPr>
          <w:rFonts w:hint="eastAsia" w:ascii="宋体" w:hAnsi="宋体"/>
          <w:szCs w:val="28"/>
        </w:rPr>
        <w:t>向</w:t>
      </w:r>
      <w:r>
        <w:rPr>
          <w:rFonts w:hint="eastAsia" w:ascii="宋体" w:hAnsi="宋体"/>
          <w:szCs w:val="28"/>
          <w:lang w:val="en-US" w:eastAsia="zh-CN"/>
        </w:rPr>
        <w:t>东</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2</w:t>
      </w:r>
      <w:r>
        <w:rPr>
          <w:rFonts w:hint="eastAsia" w:ascii="宋体" w:hAnsi="宋体"/>
          <w:szCs w:val="28"/>
        </w:rPr>
        <w:t>0</w:t>
      </w:r>
      <w:r>
        <w:rPr>
          <w:rFonts w:hint="eastAsia" w:ascii="宋体" w:hAnsi="宋体"/>
          <w:szCs w:val="28"/>
          <w:lang w:val="en-US" w:eastAsia="zh-CN"/>
        </w:rPr>
        <w:t>m³</w:t>
      </w:r>
      <w:r>
        <w:rPr>
          <w:rFonts w:hint="eastAsia" w:ascii="宋体" w:hAnsi="宋体"/>
          <w:szCs w:val="28"/>
        </w:rPr>
        <w:t>柴油罐、</w:t>
      </w:r>
      <w:r>
        <w:rPr>
          <w:rFonts w:hint="eastAsia" w:ascii="宋体" w:hAnsi="宋体"/>
          <w:szCs w:val="28"/>
          <w:lang w:val="en-US" w:eastAsia="zh-CN"/>
        </w:rPr>
        <w:t>2</w:t>
      </w:r>
      <w:r>
        <w:rPr>
          <w:rFonts w:hint="eastAsia" w:ascii="宋体" w:hAnsi="宋体"/>
          <w:szCs w:val="28"/>
        </w:rPr>
        <w:t>台</w:t>
      </w:r>
      <w:r>
        <w:rPr>
          <w:rFonts w:hint="eastAsia" w:ascii="宋体" w:hAnsi="宋体"/>
          <w:szCs w:val="28"/>
          <w:lang w:val="en-US" w:eastAsia="zh-CN"/>
        </w:rPr>
        <w:t>2</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最东侧为1台12m³柴油罐、1台12m³95#汽油罐南北布置</w:t>
      </w:r>
      <w:r>
        <w:rPr>
          <w:rFonts w:hint="eastAsia" w:ascii="宋体" w:hAnsi="宋体"/>
          <w:szCs w:val="28"/>
          <w:lang w:eastAsia="zh-CN"/>
        </w:rPr>
        <w:t>，</w:t>
      </w:r>
      <w:r>
        <w:rPr>
          <w:rFonts w:hint="eastAsia" w:ascii="宋体" w:hAnsi="宋体"/>
          <w:szCs w:val="28"/>
        </w:rPr>
        <w:t>汽油、柴油卸油口均</w:t>
      </w:r>
      <w:r>
        <w:rPr>
          <w:rFonts w:hint="eastAsia" w:ascii="宋体" w:hAnsi="宋体"/>
          <w:szCs w:val="28"/>
          <w:lang w:val="en-US" w:eastAsia="zh-CN"/>
        </w:rPr>
        <w:t>位于罐区西侧，罐区内东北侧</w:t>
      </w:r>
      <w:r>
        <w:rPr>
          <w:rFonts w:hint="eastAsia" w:ascii="宋体" w:hAnsi="宋体"/>
          <w:szCs w:val="28"/>
        </w:rPr>
        <w:t>共有通气管</w:t>
      </w:r>
      <w:r>
        <w:rPr>
          <w:rFonts w:hint="eastAsia" w:ascii="宋体" w:hAnsi="宋体"/>
          <w:szCs w:val="28"/>
          <w:lang w:val="en-US" w:eastAsia="zh-CN"/>
        </w:rPr>
        <w:t>4</w:t>
      </w:r>
      <w:r>
        <w:rPr>
          <w:rFonts w:hint="eastAsia" w:ascii="宋体" w:hAnsi="宋体"/>
          <w:szCs w:val="28"/>
        </w:rPr>
        <w:t>根（</w:t>
      </w:r>
      <w:r>
        <w:rPr>
          <w:rFonts w:hint="eastAsia" w:ascii="宋体" w:hAnsi="宋体"/>
          <w:szCs w:val="28"/>
          <w:lang w:val="en-US" w:eastAsia="zh-CN"/>
        </w:rPr>
        <w:t>含</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52</w:t>
      </w:r>
      <w:r>
        <w:rPr>
          <w:rFonts w:hint="eastAsia" w:ascii="宋体" w:hAnsi="宋体"/>
          <w:szCs w:val="28"/>
        </w:rPr>
        <w:t>+</w:t>
      </w:r>
      <w:r>
        <w:rPr>
          <w:rFonts w:hint="eastAsia" w:ascii="宋体" w:hAnsi="宋体"/>
          <w:szCs w:val="28"/>
          <w:lang w:val="en-US" w:eastAsia="zh-CN"/>
        </w:rPr>
        <w:t>32</w:t>
      </w:r>
      <w:r>
        <w:rPr>
          <w:rFonts w:hint="eastAsia" w:ascii="宋体" w:hAnsi="宋体"/>
          <w:szCs w:val="28"/>
        </w:rPr>
        <w:t>/2=</w:t>
      </w:r>
      <w:r>
        <w:rPr>
          <w:rFonts w:hint="eastAsia" w:ascii="宋体" w:hAnsi="宋体"/>
          <w:szCs w:val="28"/>
          <w:lang w:val="en-US" w:eastAsia="zh-CN"/>
        </w:rPr>
        <w:t>68</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三级</w:t>
      </w:r>
      <w:r>
        <w:rPr>
          <w:rFonts w:hint="eastAsia" w:ascii="宋体" w:hAnsi="宋体"/>
          <w:szCs w:val="28"/>
        </w:rPr>
        <w:t>加油站；该站汽油设有卸油油气回收系统、加油油气回收系统及油气</w:t>
      </w:r>
      <w:r>
        <w:rPr>
          <w:rFonts w:hint="eastAsia" w:ascii="宋体" w:hAnsi="宋体"/>
          <w:szCs w:val="28"/>
          <w:lang w:val="en-US" w:eastAsia="zh-CN"/>
        </w:rPr>
        <w:t>回收</w:t>
      </w:r>
      <w:r>
        <w:rPr>
          <w:rFonts w:hint="eastAsia" w:ascii="宋体" w:hAnsi="宋体"/>
          <w:szCs w:val="28"/>
        </w:rPr>
        <w:t>装置（三次油气回收系统）；</w:t>
      </w:r>
      <w:r>
        <w:rPr>
          <w:rFonts w:hint="eastAsia" w:ascii="宋体" w:hAnsi="宋体"/>
          <w:szCs w:val="28"/>
          <w:lang w:val="en-US" w:eastAsia="zh-CN"/>
        </w:rPr>
        <w:t>加油区南侧设有1处磅房及地磅</w:t>
      </w:r>
      <w:r>
        <w:rPr>
          <w:rFonts w:hint="eastAsia" w:ascii="宋体"/>
        </w:rPr>
        <w:t>。</w:t>
      </w:r>
    </w:p>
    <w:p w14:paraId="4D26E3ED">
      <w:pPr>
        <w:pStyle w:val="1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DAE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36573A7">
            <w:pPr>
              <w:pStyle w:val="16"/>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7161D40">
            <w:pPr>
              <w:pStyle w:val="16"/>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A38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5D8BC2">
            <w:pPr>
              <w:pStyle w:val="16"/>
              <w:keepLines w:val="0"/>
              <w:widowControl w:val="0"/>
              <w:overflowPunct/>
              <w:bidi w:val="0"/>
              <w:adjustRightInd w:val="0"/>
              <w:snapToGrid w:val="0"/>
              <w:spacing w:line="360" w:lineRule="auto"/>
              <w:rPr>
                <w:rFonts w:ascii="宋体" w:hAnsi="宋体"/>
                <w:b/>
                <w:bCs/>
              </w:rPr>
            </w:pPr>
          </w:p>
        </w:tc>
        <w:tc>
          <w:tcPr>
            <w:tcW w:w="1667" w:type="pct"/>
            <w:vAlign w:val="center"/>
          </w:tcPr>
          <w:p w14:paraId="4D7B4087">
            <w:pPr>
              <w:pStyle w:val="16"/>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8105018">
            <w:pPr>
              <w:pStyle w:val="16"/>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7633F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8FF57D">
            <w:pPr>
              <w:pStyle w:val="16"/>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70BC6220">
            <w:pPr>
              <w:pStyle w:val="16"/>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1D36963">
            <w:pPr>
              <w:pStyle w:val="16"/>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41B32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5FBDC9C">
            <w:pPr>
              <w:pStyle w:val="16"/>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102F8F99">
            <w:pPr>
              <w:pStyle w:val="16"/>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5736F8CC">
            <w:pPr>
              <w:pStyle w:val="16"/>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5091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DFF40CE">
            <w:pPr>
              <w:pStyle w:val="16"/>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12137B69">
            <w:pPr>
              <w:pStyle w:val="16"/>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5F91071">
            <w:pPr>
              <w:pStyle w:val="16"/>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0CB5ABD8">
      <w:pPr>
        <w:pStyle w:val="17"/>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1B8CC79A">
      <w:pPr>
        <w:pStyle w:val="13"/>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6</w:t>
      </w:r>
      <w:r>
        <w:rPr>
          <w:rFonts w:hint="eastAsia" w:ascii="宋体"/>
        </w:rPr>
        <w:t>人，其中主要负责人1人，安全生产管理人员1人。主要负责人和安全生产管理人员已参加了危险化学品安全管理培训，并取得考核合格证，详见附件。</w:t>
      </w:r>
    </w:p>
    <w:p w14:paraId="49D14B09">
      <w:pPr>
        <w:pStyle w:val="13"/>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2014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14</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泰安</w:t>
      </w:r>
      <w:r>
        <w:rPr>
          <w:rFonts w:hint="eastAsia" w:ascii="宋体"/>
          <w:color w:val="000000" w:themeColor="text1"/>
          <w14:textFill>
            <w14:solidFill>
              <w14:schemeClr w14:val="tx1"/>
            </w14:solidFill>
          </w14:textFill>
        </w:rPr>
        <w:t>市公安消防</w:t>
      </w:r>
      <w:r>
        <w:rPr>
          <w:rFonts w:hint="eastAsia" w:ascii="宋体"/>
          <w:color w:val="000000" w:themeColor="text1"/>
          <w:lang w:val="en-US" w:eastAsia="zh-CN"/>
          <w14:textFill>
            <w14:solidFill>
              <w14:schemeClr w14:val="tx1"/>
            </w14:solidFill>
          </w14:textFill>
        </w:rPr>
        <w:t>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建设工程消防验收意见书</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验字</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14</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第0002</w:t>
      </w:r>
      <w:r>
        <w:rPr>
          <w:rFonts w:hint="eastAsia" w:ascii="宋体"/>
          <w:color w:val="000000" w:themeColor="text1"/>
          <w14:textFill>
            <w14:solidFill>
              <w14:schemeClr w14:val="tx1"/>
            </w14:solidFill>
          </w14:textFill>
        </w:rPr>
        <w:t>号</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该站原有5台单层油罐：30m³汽油、20m³汽油、10m³汽油、40m³柴油、10m³柴油各1台，2017～2018年经双层罐改造，现有双层罐5台：20m³汽油罐2台、12m³汽油罐1台、20m³柴油罐1台、12m³柴油罐1台</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。详见附件。</w:t>
      </w:r>
    </w:p>
    <w:p w14:paraId="34F8FB8D">
      <w:pPr>
        <w:pStyle w:val="13"/>
        <w:keepLines w:val="0"/>
        <w:widowControl w:val="0"/>
        <w:overflowPunct/>
        <w:bidi w:val="0"/>
        <w:adjustRightInd w:val="0"/>
        <w:snapToGrid w:val="0"/>
        <w:spacing w:line="360" w:lineRule="auto"/>
        <w:ind w:firstLine="560"/>
        <w:rPr>
          <w:rFonts w:ascii="宋体"/>
        </w:rPr>
      </w:pPr>
      <w:r>
        <w:rPr>
          <w:rFonts w:hint="eastAsia" w:ascii="宋体"/>
          <w:lang w:val="en-US" w:eastAsia="zh-CN"/>
        </w:rPr>
        <w:t>该站</w:t>
      </w:r>
      <w:r>
        <w:rPr>
          <w:rFonts w:hint="eastAsia" w:ascii="宋体"/>
        </w:rPr>
        <w:t>于202</w:t>
      </w:r>
      <w:r>
        <w:rPr>
          <w:rFonts w:hint="eastAsia" w:ascii="宋体"/>
          <w:lang w:val="en-US" w:eastAsia="zh-CN"/>
        </w:rPr>
        <w:t>1</w:t>
      </w:r>
      <w:r>
        <w:rPr>
          <w:rFonts w:hint="eastAsia" w:ascii="宋体"/>
        </w:rPr>
        <w:t>年</w:t>
      </w:r>
      <w:r>
        <w:rPr>
          <w:rFonts w:hint="eastAsia" w:ascii="宋体"/>
          <w:lang w:val="en-US" w:eastAsia="zh-CN"/>
        </w:rPr>
        <w:t>01</w:t>
      </w:r>
      <w:r>
        <w:rPr>
          <w:rFonts w:hint="eastAsia" w:ascii="宋体"/>
        </w:rPr>
        <w:t>月</w:t>
      </w:r>
      <w:r>
        <w:rPr>
          <w:rFonts w:hint="eastAsia" w:ascii="宋体"/>
          <w:lang w:val="en-US" w:eastAsia="zh-CN"/>
        </w:rPr>
        <w:t>08</w:t>
      </w:r>
      <w:r>
        <w:rPr>
          <w:rFonts w:hint="eastAsia" w:ascii="宋体"/>
        </w:rPr>
        <w:t>日</w:t>
      </w:r>
      <w:r>
        <w:rPr>
          <w:rFonts w:hint="eastAsia" w:ascii="宋体"/>
          <w:lang w:val="en-US" w:eastAsia="zh-CN"/>
        </w:rPr>
        <w:t>换发</w:t>
      </w:r>
      <w:r>
        <w:rPr>
          <w:rFonts w:hint="eastAsia" w:ascii="宋体"/>
        </w:rPr>
        <w:t>了《成品油零售经营批准证书》，证书编号：鲁油零售证书第37090230</w:t>
      </w:r>
      <w:r>
        <w:rPr>
          <w:rFonts w:hint="eastAsia" w:ascii="宋体"/>
          <w:lang w:val="en-US" w:eastAsia="zh-CN"/>
        </w:rPr>
        <w:t>74</w:t>
      </w:r>
      <w:r>
        <w:rPr>
          <w:rFonts w:hint="eastAsia" w:ascii="宋体"/>
        </w:rPr>
        <w:t>号，证书有效期至2026年</w:t>
      </w:r>
      <w:r>
        <w:rPr>
          <w:rFonts w:hint="eastAsia" w:ascii="宋体"/>
          <w:lang w:val="en-US" w:eastAsia="zh-CN"/>
        </w:rPr>
        <w:t>01</w:t>
      </w:r>
      <w:r>
        <w:rPr>
          <w:rFonts w:hint="eastAsia" w:ascii="宋体"/>
        </w:rPr>
        <w:t>月</w:t>
      </w:r>
      <w:r>
        <w:rPr>
          <w:rFonts w:hint="eastAsia" w:ascii="宋体"/>
          <w:lang w:val="en-US" w:eastAsia="zh-CN"/>
        </w:rPr>
        <w:t>08</w:t>
      </w:r>
      <w:r>
        <w:rPr>
          <w:rFonts w:hint="eastAsia" w:ascii="宋体"/>
        </w:rPr>
        <w:t>日，证书见附件。</w:t>
      </w:r>
    </w:p>
    <w:p w14:paraId="4083A795">
      <w:pPr>
        <w:pStyle w:val="13"/>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2022年07月11日，该站与山东鲁储石化有限公司续签了《加油站合作协议》，合作期5年（自2023年10月1日起至2028年09月30日止）</w:t>
      </w:r>
      <w:r>
        <w:rPr>
          <w:rFonts w:hint="eastAsia" w:ascii="宋体"/>
          <w:color w:val="000000" w:themeColor="text1"/>
          <w14:textFill>
            <w14:solidFill>
              <w14:schemeClr w14:val="tx1"/>
            </w14:solidFill>
          </w14:textFill>
        </w:rPr>
        <w:t>，详见附件。</w:t>
      </w:r>
    </w:p>
    <w:p w14:paraId="2C1F984B">
      <w:pPr>
        <w:pStyle w:val="13"/>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lang w:val="en-US" w:eastAsia="zh-CN"/>
        </w:rPr>
        <w:t>该站</w:t>
      </w:r>
      <w:r>
        <w:rPr>
          <w:rFonts w:hint="eastAsia" w:ascii="宋体"/>
        </w:rPr>
        <w:t>于202</w:t>
      </w:r>
      <w:r>
        <w:rPr>
          <w:rFonts w:hint="eastAsia" w:ascii="宋体"/>
          <w:lang w:val="en-US" w:eastAsia="zh-CN"/>
        </w:rPr>
        <w:t>2</w:t>
      </w:r>
      <w:r>
        <w:rPr>
          <w:rFonts w:hint="eastAsia" w:ascii="宋体"/>
        </w:rPr>
        <w:t>年</w:t>
      </w:r>
      <w:r>
        <w:rPr>
          <w:rFonts w:hint="eastAsia" w:ascii="宋体"/>
          <w:lang w:val="en-US" w:eastAsia="zh-CN"/>
        </w:rPr>
        <w:t>08</w:t>
      </w:r>
      <w:r>
        <w:rPr>
          <w:rFonts w:hint="eastAsia" w:ascii="宋体"/>
        </w:rPr>
        <w:t>月</w:t>
      </w:r>
      <w:r>
        <w:rPr>
          <w:rFonts w:hint="eastAsia" w:ascii="宋体"/>
          <w:lang w:val="en-US" w:eastAsia="zh-CN"/>
        </w:rPr>
        <w:t>02</w:t>
      </w:r>
      <w:r>
        <w:rPr>
          <w:rFonts w:hint="eastAsia" w:ascii="宋体"/>
        </w:rPr>
        <w:t>日</w:t>
      </w:r>
      <w:r>
        <w:rPr>
          <w:rFonts w:hint="eastAsia" w:ascii="宋体"/>
          <w:lang w:val="en-US" w:eastAsia="zh-CN"/>
        </w:rPr>
        <w:t>换发</w:t>
      </w:r>
      <w:r>
        <w:rPr>
          <w:rFonts w:hint="eastAsia" w:ascii="宋体"/>
        </w:rPr>
        <w:t>了《危险化学品经营许可证》，证书编号：鲁</w:t>
      </w:r>
      <w:r>
        <w:rPr>
          <w:rFonts w:hint="eastAsia" w:ascii="宋体"/>
          <w:color w:val="000000" w:themeColor="text1"/>
          <w14:textFill>
            <w14:solidFill>
              <w14:schemeClr w14:val="tx1"/>
            </w14:solidFill>
          </w14:textFill>
        </w:rPr>
        <w:t>泰危化经[202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000355</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05</w:t>
      </w:r>
      <w:r>
        <w:rPr>
          <w:rFonts w:hint="eastAsia" w:ascii="宋体"/>
          <w:color w:val="000000" w:themeColor="text1"/>
          <w14:textFill>
            <w14:solidFill>
              <w14:schemeClr w14:val="tx1"/>
            </w14:solidFill>
          </w14:textFill>
        </w:rPr>
        <w:t>日，证书见附件。</w:t>
      </w:r>
    </w:p>
    <w:p w14:paraId="56973CE6">
      <w:pPr>
        <w:pStyle w:val="13"/>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该站在</w:t>
      </w:r>
      <w:r>
        <w:rPr>
          <w:rFonts w:hint="eastAsia" w:ascii="宋体"/>
          <w:color w:val="000000" w:themeColor="text1"/>
          <w:lang w:val="en-US" w:eastAsia="zh-CN"/>
          <w14:textFill>
            <w14:solidFill>
              <w14:schemeClr w14:val="tx1"/>
            </w14:solidFill>
          </w14:textFill>
        </w:rPr>
        <w:t>中国人寿</w:t>
      </w:r>
      <w:r>
        <w:rPr>
          <w:rFonts w:hint="eastAsia" w:ascii="宋体"/>
          <w:color w:val="000000" w:themeColor="text1"/>
          <w14:textFill>
            <w14:solidFill>
              <w14:schemeClr w14:val="tx1"/>
            </w14:solidFill>
          </w14:textFill>
        </w:rPr>
        <w:t>财产保险</w:t>
      </w:r>
      <w:r>
        <w:rPr>
          <w:rFonts w:hint="eastAsia" w:ascii="宋体"/>
          <w:color w:val="000000" w:themeColor="text1"/>
          <w:lang w:val="en-US" w:eastAsia="zh-CN"/>
          <w14:textFill>
            <w14:solidFill>
              <w14:schemeClr w14:val="tx1"/>
            </w14:solidFill>
          </w14:textFill>
        </w:rPr>
        <w:t>股份</w:t>
      </w:r>
      <w:r>
        <w:rPr>
          <w:rFonts w:hint="eastAsia" w:ascii="宋体"/>
          <w:color w:val="000000" w:themeColor="text1"/>
          <w14:textFill>
            <w14:solidFill>
              <w14:schemeClr w14:val="tx1"/>
            </w14:solidFill>
          </w14:textFill>
        </w:rPr>
        <w:t>有限公司投保了安全生产责任保险，保险期限为2024年</w:t>
      </w:r>
      <w:r>
        <w:rPr>
          <w:rFonts w:hint="eastAsia" w:ascii="宋体"/>
          <w:color w:val="000000" w:themeColor="text1"/>
          <w:lang w:val="en-US" w:eastAsia="zh-CN"/>
          <w14:textFill>
            <w14:solidFill>
              <w14:schemeClr w14:val="tx1"/>
            </w14:solidFill>
          </w14:textFill>
        </w:rPr>
        <w:t>05</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05</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零时</w:t>
      </w:r>
      <w:r>
        <w:rPr>
          <w:rFonts w:hint="eastAsia" w:ascii="宋体"/>
          <w:color w:val="000000" w:themeColor="text1"/>
          <w14:textFill>
            <w14:solidFill>
              <w14:schemeClr w14:val="tx1"/>
            </w14:solidFill>
          </w14:textFill>
        </w:rPr>
        <w:t>至2025年</w:t>
      </w:r>
      <w:r>
        <w:rPr>
          <w:rFonts w:hint="eastAsia" w:ascii="宋体"/>
          <w:color w:val="000000" w:themeColor="text1"/>
          <w:lang w:val="en-US" w:eastAsia="zh-CN"/>
          <w14:textFill>
            <w14:solidFill>
              <w14:schemeClr w14:val="tx1"/>
            </w14:solidFill>
          </w14:textFill>
        </w:rPr>
        <w:t>05</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二十四时</w:t>
      </w:r>
      <w:r>
        <w:rPr>
          <w:rFonts w:hint="eastAsia" w:ascii="宋体"/>
          <w:color w:val="000000" w:themeColor="text1"/>
          <w14:textFill>
            <w14:solidFill>
              <w14:schemeClr w14:val="tx1"/>
            </w14:solidFill>
          </w14:textFill>
        </w:rPr>
        <w:t>，详见附件。</w:t>
      </w:r>
    </w:p>
    <w:p w14:paraId="097CD5F0">
      <w:pPr>
        <w:pStyle w:val="13"/>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新泰市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370982-2024-0054</w:t>
      </w:r>
      <w:r>
        <w:rPr>
          <w:rFonts w:hint="eastAsia" w:ascii="宋体"/>
          <w:color w:val="000000" w:themeColor="text1"/>
          <w14:textFill>
            <w14:solidFill>
              <w14:schemeClr w14:val="tx1"/>
            </w14:solidFill>
          </w14:textFill>
        </w:rPr>
        <w:t>，详见附件。</w:t>
      </w:r>
    </w:p>
    <w:p w14:paraId="53A9BED7">
      <w:pPr>
        <w:pStyle w:val="13"/>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2024年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30</w:t>
      </w:r>
      <w:r>
        <w:rPr>
          <w:rFonts w:hint="eastAsia" w:ascii="宋体"/>
          <w:color w:val="000000" w:themeColor="text1"/>
          <w14:textFill>
            <w14:solidFill>
              <w14:schemeClr w14:val="tx1"/>
            </w14:solidFill>
          </w14:textFill>
        </w:rPr>
        <w:t>日，山东泰吉检测技术有限公司对该站进行了相关防雷设施的检测，出具了合格的《雷电防护装置定期检测报告》，报告编号：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泰吉雷检字</w:t>
      </w:r>
      <w:r>
        <w:rPr>
          <w:rFonts w:hint="eastAsia" w:ascii="宋体"/>
          <w:color w:val="000000" w:themeColor="text1"/>
          <w14:textFill>
            <w14:solidFill>
              <w14:schemeClr w14:val="tx1"/>
            </w14:solidFill>
          </w14:textFill>
        </w:rPr>
        <w:t>[2024]</w:t>
      </w:r>
      <w:r>
        <w:rPr>
          <w:rFonts w:hint="eastAsia" w:ascii="宋体"/>
          <w:color w:val="000000" w:themeColor="text1"/>
          <w:lang w:val="en-US" w:eastAsia="zh-CN"/>
          <w14:textFill>
            <w14:solidFill>
              <w14:schemeClr w14:val="tx1"/>
            </w14:solidFill>
          </w14:textFill>
        </w:rPr>
        <w:t>XTWH</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147</w:t>
      </w:r>
      <w:r>
        <w:rPr>
          <w:rFonts w:hint="eastAsia" w:ascii="宋体"/>
          <w:color w:val="000000" w:themeColor="text1"/>
          <w14:textFill>
            <w14:solidFill>
              <w14:schemeClr w14:val="tx1"/>
            </w14:solidFill>
          </w14:textFill>
        </w:rPr>
        <w:t>号，结论为“合格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防雷装置符合现行国家防雷规范标准要求”，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05</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日，检测报告见附件。</w:t>
      </w:r>
    </w:p>
    <w:p w14:paraId="672761D1">
      <w:pPr>
        <w:pStyle w:val="13"/>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7CAC56A">
      <w:pPr>
        <w:pStyle w:val="13"/>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8</w:t>
      </w:r>
      <w:r>
        <w:rPr>
          <w:rFonts w:hint="eastAsia" w:ascii="宋体"/>
        </w:rPr>
        <w:t>kg手提式干粉灭火器</w:t>
      </w:r>
      <w:r>
        <w:rPr>
          <w:rFonts w:hint="eastAsia" w:ascii="宋体"/>
          <w:lang w:val="en-US" w:eastAsia="zh-CN"/>
        </w:rPr>
        <w:t>11</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2</w:t>
      </w:r>
      <w:r>
        <w:rPr>
          <w:rFonts w:hint="eastAsia" w:ascii="宋体"/>
        </w:rPr>
        <w:t>具，灭火毯</w:t>
      </w:r>
      <w:r>
        <w:rPr>
          <w:rFonts w:hint="eastAsia" w:ascii="宋体"/>
          <w:lang w:val="en-US" w:eastAsia="zh-CN"/>
        </w:rPr>
        <w:t>6</w:t>
      </w:r>
      <w:r>
        <w:rPr>
          <w:rFonts w:hint="eastAsia" w:ascii="宋体"/>
        </w:rPr>
        <w:t>块，消防锨4把，消防桶</w:t>
      </w:r>
      <w:r>
        <w:rPr>
          <w:rFonts w:hint="eastAsia" w:ascii="宋体"/>
          <w:lang w:val="en-US" w:eastAsia="zh-CN"/>
        </w:rPr>
        <w:t>4</w:t>
      </w:r>
      <w:r>
        <w:rPr>
          <w:rFonts w:hint="eastAsia" w:ascii="宋体"/>
        </w:rPr>
        <w:t>个，消防沙池2m</w:t>
      </w:r>
      <w:r>
        <w:rPr>
          <w:rFonts w:hint="eastAsia" w:ascii="宋体"/>
          <w:vertAlign w:val="superscript"/>
        </w:rPr>
        <w:t>3</w:t>
      </w:r>
      <w:r>
        <w:rPr>
          <w:rFonts w:hint="eastAsia" w:ascii="宋体"/>
        </w:rPr>
        <w:t>。</w:t>
      </w:r>
    </w:p>
    <w:p w14:paraId="31CF3BA2">
      <w:pPr>
        <w:pStyle w:val="13"/>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4"/>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3906"/>
      <w:bookmarkStart w:id="15" w:name="_Toc102634406"/>
      <w:bookmarkStart w:id="16" w:name="_Toc102633980"/>
      <w:bookmarkStart w:id="17" w:name="_Toc102634255"/>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15033754"/>
      <w:bookmarkStart w:id="19" w:name="_Toc23543"/>
      <w:bookmarkStart w:id="20" w:name="_Toc7829"/>
      <w:bookmarkStart w:id="21" w:name="_Toc198026273"/>
      <w:bookmarkStart w:id="22" w:name="_Toc102633981"/>
      <w:bookmarkStart w:id="23" w:name="_Toc102634407"/>
      <w:bookmarkStart w:id="24" w:name="_Toc238007574"/>
      <w:bookmarkStart w:id="25" w:name="_Toc272364536"/>
      <w:bookmarkStart w:id="26" w:name="_Toc192907201"/>
      <w:bookmarkStart w:id="27" w:name="_Toc102633907"/>
      <w:bookmarkStart w:id="28" w:name="_Toc102634256"/>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4AB2B700">
      <w:pPr>
        <w:pStyle w:val="13"/>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31FD174E">
      <w:pPr>
        <w:pStyle w:val="18"/>
        <w:keepLines w:val="0"/>
        <w:widowControl w:val="0"/>
        <w:overflowPunct/>
        <w:bidi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272282A5">
      <w:pPr>
        <w:pStyle w:val="13"/>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46F8F6CA">
      <w:pPr>
        <w:pStyle w:val="13"/>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06944BFA">
      <w:pPr>
        <w:pStyle w:val="18"/>
        <w:keepLines w:val="0"/>
        <w:widowControl w:val="0"/>
        <w:overflowPunct/>
        <w:bidi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411DE91D">
      <w:pPr>
        <w:pStyle w:val="13"/>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9709E82">
      <w:pPr>
        <w:pStyle w:val="13"/>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021C530C">
      <w:pPr>
        <w:pStyle w:val="13"/>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355B3FD3">
      <w:pPr>
        <w:pStyle w:val="13"/>
        <w:keepLines w:val="0"/>
        <w:widowControl w:val="0"/>
        <w:overflowPunct/>
        <w:bidi w:val="0"/>
        <w:adjustRightInd w:val="0"/>
        <w:snapToGrid w:val="0"/>
        <w:spacing w:line="360" w:lineRule="auto"/>
        <w:ind w:firstLine="560"/>
        <w:rPr>
          <w:rFonts w:ascii="宋体"/>
        </w:rPr>
      </w:pPr>
      <w:r>
        <w:rPr>
          <w:rFonts w:ascii="宋体"/>
        </w:rPr>
        <w:t>1、安全管理；</w:t>
      </w:r>
    </w:p>
    <w:p w14:paraId="2F05E7DD">
      <w:pPr>
        <w:pStyle w:val="13"/>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3F410CD">
      <w:pPr>
        <w:pStyle w:val="13"/>
        <w:keepLines w:val="0"/>
        <w:widowControl w:val="0"/>
        <w:overflowPunct/>
        <w:bidi w:val="0"/>
        <w:adjustRightInd w:val="0"/>
        <w:snapToGrid w:val="0"/>
        <w:spacing w:line="360" w:lineRule="auto"/>
        <w:ind w:firstLine="560"/>
        <w:rPr>
          <w:rFonts w:ascii="宋体"/>
        </w:rPr>
      </w:pPr>
      <w:r>
        <w:rPr>
          <w:rFonts w:ascii="宋体"/>
        </w:rPr>
        <w:t>3、加油工艺及设施；</w:t>
      </w:r>
    </w:p>
    <w:p w14:paraId="733F0B79">
      <w:pPr>
        <w:pStyle w:val="13"/>
        <w:keepLines w:val="0"/>
        <w:widowControl w:val="0"/>
        <w:overflowPunct/>
        <w:bidi w:val="0"/>
        <w:adjustRightInd w:val="0"/>
        <w:snapToGrid w:val="0"/>
        <w:spacing w:line="360" w:lineRule="auto"/>
        <w:ind w:firstLine="560"/>
        <w:rPr>
          <w:rFonts w:ascii="宋体"/>
        </w:rPr>
      </w:pPr>
      <w:r>
        <w:rPr>
          <w:rFonts w:ascii="宋体"/>
        </w:rPr>
        <w:t>4、其它安全设施等。</w:t>
      </w:r>
      <w:bookmarkStart w:id="31" w:name="_Toc272364537"/>
      <w:bookmarkStart w:id="32" w:name="_Toc188080068"/>
      <w:bookmarkStart w:id="33" w:name="_Toc19785"/>
      <w:bookmarkStart w:id="34" w:name="_Toc238007575"/>
      <w:bookmarkStart w:id="35" w:name="_Toc24232"/>
      <w:bookmarkStart w:id="36" w:name="_Toc15033755"/>
      <w:bookmarkStart w:id="37" w:name="_Toc198026274"/>
      <w:bookmarkStart w:id="38" w:name="_Toc188079886"/>
      <w:bookmarkStart w:id="39" w:name="_Toc192907202"/>
    </w:p>
    <w:p w14:paraId="051AA832">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0" w:name="_Toc102634259"/>
      <w:bookmarkStart w:id="41" w:name="_Toc102633982"/>
      <w:bookmarkStart w:id="42" w:name="_Toc102633908"/>
      <w:bookmarkStart w:id="43" w:name="_Toc102634408"/>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535BCEA4">
      <w:pPr>
        <w:pStyle w:val="13"/>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0B39051">
      <w:pPr>
        <w:pStyle w:val="13"/>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4F7EF54E">
      <w:pPr>
        <w:pStyle w:val="13"/>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新泰市后羊村加油站</w:t>
      </w:r>
      <w:r>
        <w:rPr>
          <w:rFonts w:ascii="宋体"/>
        </w:rPr>
        <w:t>的具体情况，选用安全检查表、事故树法及危险度评价法对加油站进行评价。具体应用如下表所示：</w:t>
      </w:r>
    </w:p>
    <w:p w14:paraId="7E0C1FAC">
      <w:pPr>
        <w:pStyle w:val="1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60172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18961454">
            <w:pPr>
              <w:pStyle w:val="16"/>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3004EDFC">
            <w:pPr>
              <w:pStyle w:val="16"/>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6126F989">
            <w:pPr>
              <w:pStyle w:val="16"/>
              <w:keepLines w:val="0"/>
              <w:widowControl w:val="0"/>
              <w:overflowPunct/>
              <w:bidi w:val="0"/>
              <w:adjustRightInd w:val="0"/>
              <w:snapToGrid w:val="0"/>
              <w:spacing w:line="360" w:lineRule="auto"/>
              <w:rPr>
                <w:rFonts w:ascii="宋体"/>
                <w:b/>
              </w:rPr>
            </w:pPr>
            <w:r>
              <w:rPr>
                <w:rFonts w:ascii="宋体"/>
                <w:b/>
                <w:lang w:val="en-GB"/>
              </w:rPr>
              <w:t>评价方法</w:t>
            </w:r>
          </w:p>
        </w:tc>
      </w:tr>
      <w:tr w14:paraId="466DF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6B62363">
            <w:pPr>
              <w:pStyle w:val="16"/>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610A02F3">
            <w:pPr>
              <w:pStyle w:val="16"/>
              <w:keepLines w:val="0"/>
              <w:widowControl w:val="0"/>
              <w:overflowPunct/>
              <w:bidi w:val="0"/>
              <w:adjustRightInd w:val="0"/>
              <w:snapToGrid w:val="0"/>
              <w:spacing w:line="360" w:lineRule="auto"/>
              <w:rPr>
                <w:rFonts w:ascii="宋体"/>
                <w:b/>
              </w:rPr>
            </w:pPr>
          </w:p>
        </w:tc>
        <w:tc>
          <w:tcPr>
            <w:tcW w:w="1196" w:type="pct"/>
            <w:vAlign w:val="center"/>
          </w:tcPr>
          <w:p w14:paraId="08585B79">
            <w:pPr>
              <w:pStyle w:val="16"/>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17F93F0C">
            <w:pPr>
              <w:pStyle w:val="16"/>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6511790C">
            <w:pPr>
              <w:pStyle w:val="16"/>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69377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5322502">
            <w:pPr>
              <w:pStyle w:val="16"/>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58E3B2D9">
            <w:pPr>
              <w:pStyle w:val="16"/>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A7B6FA9">
            <w:pPr>
              <w:pStyle w:val="16"/>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92D4AF3">
            <w:pPr>
              <w:pStyle w:val="16"/>
              <w:keepLines w:val="0"/>
              <w:widowControl w:val="0"/>
              <w:overflowPunct/>
              <w:bidi w:val="0"/>
              <w:adjustRightInd w:val="0"/>
              <w:snapToGrid w:val="0"/>
              <w:spacing w:line="360" w:lineRule="auto"/>
              <w:rPr>
                <w:rFonts w:ascii="宋体"/>
              </w:rPr>
            </w:pPr>
          </w:p>
        </w:tc>
        <w:tc>
          <w:tcPr>
            <w:tcW w:w="972" w:type="pct"/>
            <w:vAlign w:val="center"/>
          </w:tcPr>
          <w:p w14:paraId="36CAE674">
            <w:pPr>
              <w:pStyle w:val="16"/>
              <w:keepLines w:val="0"/>
              <w:widowControl w:val="0"/>
              <w:overflowPunct/>
              <w:bidi w:val="0"/>
              <w:adjustRightInd w:val="0"/>
              <w:snapToGrid w:val="0"/>
              <w:spacing w:line="360" w:lineRule="auto"/>
              <w:rPr>
                <w:rFonts w:ascii="宋体"/>
              </w:rPr>
            </w:pPr>
          </w:p>
        </w:tc>
      </w:tr>
      <w:tr w14:paraId="699F3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1C3F727">
            <w:pPr>
              <w:pStyle w:val="16"/>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7D221DD7">
            <w:pPr>
              <w:pStyle w:val="16"/>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4ADA4F8A">
            <w:pPr>
              <w:pStyle w:val="16"/>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4EAD77A3">
            <w:pPr>
              <w:pStyle w:val="16"/>
              <w:keepLines w:val="0"/>
              <w:widowControl w:val="0"/>
              <w:overflowPunct/>
              <w:bidi w:val="0"/>
              <w:adjustRightInd w:val="0"/>
              <w:snapToGrid w:val="0"/>
              <w:spacing w:line="360" w:lineRule="auto"/>
              <w:rPr>
                <w:rFonts w:ascii="宋体"/>
              </w:rPr>
            </w:pPr>
          </w:p>
        </w:tc>
        <w:tc>
          <w:tcPr>
            <w:tcW w:w="972" w:type="pct"/>
            <w:vAlign w:val="center"/>
          </w:tcPr>
          <w:p w14:paraId="0250E45D">
            <w:pPr>
              <w:pStyle w:val="16"/>
              <w:keepLines w:val="0"/>
              <w:widowControl w:val="0"/>
              <w:overflowPunct/>
              <w:bidi w:val="0"/>
              <w:adjustRightInd w:val="0"/>
              <w:snapToGrid w:val="0"/>
              <w:spacing w:line="360" w:lineRule="auto"/>
              <w:rPr>
                <w:rFonts w:ascii="宋体"/>
              </w:rPr>
            </w:pPr>
          </w:p>
        </w:tc>
      </w:tr>
      <w:tr w14:paraId="1C6B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3CFF838">
            <w:pPr>
              <w:pStyle w:val="16"/>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05079EBA">
            <w:pPr>
              <w:pStyle w:val="16"/>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278F0A76">
            <w:pPr>
              <w:pStyle w:val="16"/>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2F7F320">
            <w:pPr>
              <w:pStyle w:val="16"/>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07BDB70B">
            <w:pPr>
              <w:pStyle w:val="16"/>
              <w:keepLines w:val="0"/>
              <w:widowControl w:val="0"/>
              <w:overflowPunct/>
              <w:bidi w:val="0"/>
              <w:adjustRightInd w:val="0"/>
              <w:snapToGrid w:val="0"/>
              <w:spacing w:line="360" w:lineRule="auto"/>
              <w:rPr>
                <w:rFonts w:ascii="宋体"/>
              </w:rPr>
            </w:pPr>
            <w:r>
              <w:rPr>
                <w:rFonts w:hint="eastAsia" w:ascii="宋体" w:hAnsi="宋体" w:cs="宋体"/>
              </w:rPr>
              <w:t>★</w:t>
            </w:r>
          </w:p>
        </w:tc>
      </w:tr>
      <w:tr w14:paraId="41022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45B36C5">
            <w:pPr>
              <w:pStyle w:val="16"/>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7EFC13E4">
            <w:pPr>
              <w:pStyle w:val="16"/>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21012EA3">
            <w:pPr>
              <w:pStyle w:val="16"/>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4522BB6F">
            <w:pPr>
              <w:pStyle w:val="16"/>
              <w:keepLines w:val="0"/>
              <w:widowControl w:val="0"/>
              <w:overflowPunct/>
              <w:bidi w:val="0"/>
              <w:adjustRightInd w:val="0"/>
              <w:snapToGrid w:val="0"/>
              <w:spacing w:line="360" w:lineRule="auto"/>
              <w:rPr>
                <w:rFonts w:ascii="宋体"/>
              </w:rPr>
            </w:pPr>
          </w:p>
        </w:tc>
        <w:tc>
          <w:tcPr>
            <w:tcW w:w="972" w:type="pct"/>
            <w:vAlign w:val="center"/>
          </w:tcPr>
          <w:p w14:paraId="7DA50442">
            <w:pPr>
              <w:pStyle w:val="16"/>
              <w:keepLines w:val="0"/>
              <w:widowControl w:val="0"/>
              <w:overflowPunct/>
              <w:bidi w:val="0"/>
              <w:adjustRightInd w:val="0"/>
              <w:snapToGrid w:val="0"/>
              <w:spacing w:line="360" w:lineRule="auto"/>
              <w:rPr>
                <w:rFonts w:ascii="宋体"/>
              </w:rPr>
            </w:pPr>
          </w:p>
        </w:tc>
      </w:tr>
    </w:tbl>
    <w:p w14:paraId="5246D7E8">
      <w:pPr>
        <w:pStyle w:val="13"/>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55B8E763">
      <w:pPr>
        <w:pStyle w:val="14"/>
        <w:keepLines w:val="0"/>
        <w:widowControl w:val="0"/>
        <w:overflowPunct/>
        <w:bidi w:val="0"/>
        <w:adjustRightInd w:val="0"/>
        <w:snapToGrid w:val="0"/>
        <w:spacing w:before="468" w:beforeLines="150" w:after="156" w:afterLines="50" w:line="360" w:lineRule="auto"/>
      </w:pPr>
      <w:bookmarkStart w:id="44" w:name="_Toc9894"/>
      <w:bookmarkStart w:id="45" w:name="_Toc102634276"/>
      <w:bookmarkStart w:id="46" w:name="_Toc102633914"/>
      <w:bookmarkStart w:id="47" w:name="_Toc102633988"/>
      <w:bookmarkStart w:id="48" w:name="_Toc102634414"/>
      <w:bookmarkStart w:id="49" w:name="_Toc15033761"/>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225046264"/>
      <w:bookmarkStart w:id="51" w:name="_Toc339456079"/>
      <w:bookmarkStart w:id="52" w:name="_Toc102633989"/>
      <w:bookmarkStart w:id="53" w:name="_Toc102633915"/>
      <w:bookmarkStart w:id="54" w:name="_Toc15033762"/>
      <w:bookmarkStart w:id="55" w:name="_Toc102634277"/>
      <w:bookmarkStart w:id="56" w:name="_Toc102634415"/>
      <w:bookmarkStart w:id="57" w:name="_Toc242065302"/>
      <w:bookmarkStart w:id="58" w:name="_Toc348877039"/>
      <w:bookmarkStart w:id="59" w:name="_Toc4961"/>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3EABC84F">
      <w:pPr>
        <w:keepLines w:val="0"/>
        <w:overflowPunct/>
        <w:bidi w:val="0"/>
        <w:adjustRightInd w:val="0"/>
        <w:snapToGrid w:val="0"/>
        <w:spacing w:line="360" w:lineRule="auto"/>
        <w:ind w:firstLine="560" w:firstLineChars="200"/>
        <w:rPr>
          <w:rFonts w:ascii="宋体"/>
          <w:kern w:val="0"/>
          <w:sz w:val="28"/>
          <w:szCs w:val="20"/>
        </w:rPr>
      </w:pPr>
      <w:bookmarkStart w:id="60" w:name="_Toc15033763"/>
      <w:bookmarkStart w:id="61" w:name="_Toc49590281"/>
      <w:r>
        <w:rPr>
          <w:rFonts w:ascii="宋体"/>
          <w:kern w:val="0"/>
          <w:sz w:val="28"/>
          <w:szCs w:val="20"/>
        </w:rPr>
        <w:t>通过现场检查和审查有关资料</w:t>
      </w:r>
      <w:r>
        <w:rPr>
          <w:rFonts w:hint="eastAsia" w:ascii="宋体"/>
          <w:kern w:val="0"/>
          <w:sz w:val="28"/>
          <w:szCs w:val="20"/>
        </w:rPr>
        <w:t>可以看出，该加油站发现以下问题：</w:t>
      </w:r>
    </w:p>
    <w:bookmarkEnd w:id="60"/>
    <w:bookmarkEnd w:id="61"/>
    <w:p w14:paraId="697535A9">
      <w:pPr>
        <w:keepLines w:val="0"/>
        <w:widowControl/>
        <w:overflowPunct/>
        <w:bidi w:val="0"/>
        <w:adjustRightInd w:val="0"/>
        <w:snapToGrid w:val="0"/>
        <w:spacing w:line="360" w:lineRule="auto"/>
        <w:ind w:firstLine="480"/>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7"/>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1FCB3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030369A">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19C9FED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B6B617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22812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FFCB4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5C6036D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操作井内管道介质流向标识缺失、发电机房停用标识损坏。</w:t>
            </w:r>
          </w:p>
        </w:tc>
        <w:tc>
          <w:tcPr>
            <w:tcW w:w="4740" w:type="dxa"/>
            <w:vAlign w:val="center"/>
          </w:tcPr>
          <w:p w14:paraId="79488A5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ascii="宋体" w:hAnsi="宋体"/>
                <w:lang w:val="en-US" w:eastAsia="zh-CN"/>
              </w:rPr>
              <w:t>应补充完善操作井内管道介质流向标识、发电机房停用标识</w:t>
            </w:r>
            <w:r>
              <w:rPr>
                <w:rFonts w:hint="eastAsia"/>
                <w:lang w:val="en-US" w:eastAsia="zh-CN"/>
              </w:rPr>
              <w:t>。</w:t>
            </w:r>
          </w:p>
        </w:tc>
      </w:tr>
    </w:tbl>
    <w:p w14:paraId="4B09C1CE">
      <w:pPr>
        <w:pStyle w:val="3"/>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kern w:val="0"/>
          <w:sz w:val="28"/>
          <w:szCs w:val="20"/>
        </w:rPr>
        <w:t>该加油站将上述问题整改合格后，在安全管理、站址选择及总平面布置、加油工艺及设施、其它设施等方面符合有关法律、标准规范的要求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3"/>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51830" cy="8860155"/>
            <wp:effectExtent l="0" t="0" r="1270" b="1714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751830" cy="8860155"/>
                    </a:xfrm>
                    <a:prstGeom prst="rect">
                      <a:avLst/>
                    </a:prstGeom>
                  </pic:spPr>
                </pic:pic>
              </a:graphicData>
            </a:graphic>
          </wp:inline>
        </w:drawing>
      </w:r>
      <w:bookmarkStart w:id="62" w:name="_GoBack"/>
      <w:r>
        <w:rPr>
          <w:rFonts w:hint="default" w:ascii="宋体"/>
          <w:color w:val="auto"/>
          <w:kern w:val="0"/>
          <w:sz w:val="28"/>
          <w:szCs w:val="20"/>
          <w:lang w:val="en-US" w:eastAsia="zh-CN"/>
        </w:rPr>
        <w:drawing>
          <wp:inline distT="0" distB="0" distL="114300" distR="114300">
            <wp:extent cx="5751830" cy="8521700"/>
            <wp:effectExtent l="0" t="0" r="1270" b="1270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5751830" cy="8521700"/>
                    </a:xfrm>
                    <a:prstGeom prst="rect">
                      <a:avLst/>
                    </a:prstGeom>
                  </pic:spPr>
                </pic:pic>
              </a:graphicData>
            </a:graphic>
          </wp:inline>
        </w:drawing>
      </w:r>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DC1223"/>
    <w:rsid w:val="13D12EE6"/>
    <w:rsid w:val="153C4810"/>
    <w:rsid w:val="16BC1C2B"/>
    <w:rsid w:val="1E1E483E"/>
    <w:rsid w:val="22CB7136"/>
    <w:rsid w:val="284F788D"/>
    <w:rsid w:val="2A9D36CA"/>
    <w:rsid w:val="2EB02BD7"/>
    <w:rsid w:val="2EC41433"/>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A893A0E"/>
    <w:rsid w:val="5AB85F0C"/>
    <w:rsid w:val="5E953707"/>
    <w:rsid w:val="68772688"/>
    <w:rsid w:val="6AD40467"/>
    <w:rsid w:val="6BF95CAB"/>
    <w:rsid w:val="6D0669CA"/>
    <w:rsid w:val="717A11AE"/>
    <w:rsid w:val="72FD2CFB"/>
    <w:rsid w:val="73C95CFD"/>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99"/>
    <w:rPr>
      <w:rFonts w:ascii="宋体" w:hAnsi="Courier New"/>
      <w:kern w:val="0"/>
      <w:sz w:val="20"/>
      <w:szCs w:val="20"/>
    </w:rPr>
  </w:style>
  <w:style w:type="paragraph" w:styleId="6">
    <w:name w:val="Body Text First Indent 2"/>
    <w:basedOn w:val="4"/>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9">
    <w:name w:val="111"/>
    <w:basedOn w:val="10"/>
    <w:qFormat/>
    <w:uiPriority w:val="0"/>
    <w:pPr>
      <w:widowControl/>
      <w:spacing w:beforeAutospacing="0" w:afterAutospacing="0"/>
      <w:jc w:val="left"/>
    </w:pPr>
    <w:rPr>
      <w:rFonts w:ascii="宋体" w:hAnsi="宋体" w:eastAsia="宋体" w:cs="宋体"/>
      <w:kern w:val="0"/>
      <w:sz w:val="24"/>
      <w:szCs w:val="24"/>
    </w:rPr>
  </w:style>
  <w:style w:type="paragraph" w:customStyle="1" w:styleId="10">
    <w:name w:val="题目"/>
    <w:basedOn w:val="1"/>
    <w:qFormat/>
    <w:uiPriority w:val="0"/>
    <w:pPr>
      <w:jc w:val="center"/>
      <w:outlineLvl w:val="0"/>
    </w:pPr>
    <w:rPr>
      <w:rFonts w:ascii="黑体" w:hAnsi="黑体" w:eastAsia="黑体"/>
      <w:sz w:val="32"/>
      <w:szCs w:val="32"/>
    </w:rPr>
  </w:style>
  <w:style w:type="paragraph" w:customStyle="1" w:styleId="11">
    <w:name w:val="Table Text"/>
    <w:basedOn w:val="1"/>
    <w:semiHidden/>
    <w:qFormat/>
    <w:uiPriority w:val="0"/>
    <w:rPr>
      <w:rFonts w:ascii="宋体" w:hAnsi="宋体" w:eastAsia="宋体" w:cs="宋体"/>
      <w:sz w:val="20"/>
      <w:szCs w:val="20"/>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4">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5">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6">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7">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8">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19">
    <w:name w:val="表内文字"/>
    <w:basedOn w:val="5"/>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3317</Words>
  <Characters>3672</Characters>
  <Lines>0</Lines>
  <Paragraphs>0</Paragraphs>
  <TotalTime>2</TotalTime>
  <ScaleCrop>false</ScaleCrop>
  <LinksUpToDate>false</LinksUpToDate>
  <CharactersWithSpaces>3708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2025-03-12T09:09:08Z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