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中国石油天然气股份有限公司山东泰安销售分公司一零四国道满庄加油站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730770BC">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油天然气股份有限公司山东泰安销售分公司一零四国道满庄加油站位于满庄镇北迎村104国道548公里处路东，该站东侧是大棚，南侧是空地，北侧是沿街房，西侧是G104国道、架空通信线，东北侧是架空电力线。该站经营许可范围为汽油、乙醇汽油、柴油，现其主要储存经营汽油、乙醇汽油、柴油（0#与-10#换季销售）。此次现状评价报告与上次报告相比，该站新增1台洗车机，更换1台变压器，卸油作业区新增人体静电释放仪，加油区新增3台可燃气体探测器，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东部，加油区在站房西侧，现有4台四枪加油机（7枪为自助）：1台四枪柴油加油机、1台92#乙醇汽油/柴油四枪加油机、2台92#乙醇汽油/95#汽油四枪加油机，均为潜油泵式；油罐区布置在站房南侧，自西向东分别为：1台30m³92#乙醇汽油罐、3台30m³柴油罐、1台30m³95#汽油罐，汽油、柴油卸油口均位于罐区西侧，罐区南侧共有通气管6根（含油气回收装置通气管）；按《汽车加油加气加氢站技术标准》GB50156-2021标准规定：V=60+90/2=105m3，该站属二级加油站；该站汽油设有卸油油气回收系统、加油油气回收系统及油气回收装置（三次油气回收系统）。</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  燕</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2025.02.10</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2025.02.21</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2025.02.26</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14B00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3D425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027B4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2025.03.03</w:t>
            </w:r>
          </w:p>
        </w:tc>
        <w:tc>
          <w:tcPr>
            <w:tcW w:w="2350" w:type="dxa"/>
            <w:tcBorders>
              <w:tl2br w:val="nil"/>
              <w:tr2bl w:val="nil"/>
            </w:tcBorders>
            <w:shd w:val="clear" w:color="auto" w:fill="auto"/>
            <w:noWrap/>
            <w:vAlign w:val="center"/>
          </w:tcPr>
          <w:p w14:paraId="66DB545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232C730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安全评价报告提交时间：2025.04.07</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5EE59B17">
      <w:pPr>
        <w:pStyle w:val="3"/>
        <w:spacing w:line="240" w:lineRule="auto"/>
        <w:ind w:left="0" w:leftChars="0" w:firstLine="0" w:firstLineChars="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7545" cy="8399145"/>
            <wp:effectExtent l="0" t="0" r="14605" b="1905"/>
            <wp:docPr id="11" name="图片 11" descr="扫描全能王 2025-04-28 11.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04-28 11.25_1"/>
                    <pic:cNvPicPr>
                      <a:picLocks noChangeAspect="1"/>
                    </pic:cNvPicPr>
                  </pic:nvPicPr>
                  <pic:blipFill>
                    <a:blip r:embed="rId4"/>
                    <a:stretch>
                      <a:fillRect/>
                    </a:stretch>
                  </pic:blipFill>
                  <pic:spPr>
                    <a:xfrm>
                      <a:off x="0" y="0"/>
                      <a:ext cx="5757545" cy="839914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4370" cy="8587105"/>
            <wp:effectExtent l="0" t="0" r="17780" b="4445"/>
            <wp:docPr id="10" name="图片 10" descr="扫描全能王 2025-04-28 11.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04-28 11.25_2"/>
                    <pic:cNvPicPr>
                      <a:picLocks noChangeAspect="1"/>
                    </pic:cNvPicPr>
                  </pic:nvPicPr>
                  <pic:blipFill>
                    <a:blip r:embed="rId5"/>
                    <a:stretch>
                      <a:fillRect/>
                    </a:stretch>
                  </pic:blipFill>
                  <pic:spPr>
                    <a:xfrm>
                      <a:off x="0" y="0"/>
                      <a:ext cx="5754370" cy="858710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47385" cy="8423275"/>
            <wp:effectExtent l="0" t="0" r="5715" b="15875"/>
            <wp:docPr id="9" name="图片 9" descr="扫描全能王 2025-04-28 11.2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04-28 11.25_3"/>
                    <pic:cNvPicPr>
                      <a:picLocks noChangeAspect="1"/>
                    </pic:cNvPicPr>
                  </pic:nvPicPr>
                  <pic:blipFill>
                    <a:blip r:embed="rId6"/>
                    <a:stretch>
                      <a:fillRect/>
                    </a:stretch>
                  </pic:blipFill>
                  <pic:spPr>
                    <a:xfrm>
                      <a:off x="0" y="0"/>
                      <a:ext cx="5747385" cy="8423275"/>
                    </a:xfrm>
                    <a:prstGeom prst="rect">
                      <a:avLst/>
                    </a:prstGeom>
                  </pic:spPr>
                </pic:pic>
              </a:graphicData>
            </a:graphic>
          </wp:inline>
        </w:drawing>
      </w:r>
    </w:p>
    <w:p w14:paraId="48D9972F">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40D677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中国石油天然气股份有限公司山东泰安销售分公司一零四国道满庄加油站</w:t>
      </w: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安全现状评价现场照片</w:t>
      </w:r>
    </w:p>
    <w:p w14:paraId="05D4BEAF">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pPr>
    </w:p>
    <w:p w14:paraId="3DD27D66">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535930" cy="4152265"/>
            <wp:effectExtent l="0" t="0" r="7620" b="635"/>
            <wp:docPr id="13" name="图片 13" descr="IMG_20250226_1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26_134058"/>
                    <pic:cNvPicPr>
                      <a:picLocks noChangeAspect="1"/>
                    </pic:cNvPicPr>
                  </pic:nvPicPr>
                  <pic:blipFill>
                    <a:blip r:embed="rId7"/>
                    <a:stretch>
                      <a:fillRect/>
                    </a:stretch>
                  </pic:blipFill>
                  <pic:spPr>
                    <a:xfrm>
                      <a:off x="0" y="0"/>
                      <a:ext cx="5535930" cy="4152265"/>
                    </a:xfrm>
                    <a:prstGeom prst="rect">
                      <a:avLst/>
                    </a:prstGeom>
                  </pic:spPr>
                </pic:pic>
              </a:graphicData>
            </a:graphic>
          </wp:inline>
        </w:drawing>
      </w:r>
      <w:r>
        <w:rPr>
          <w:rFonts w:hint="default"/>
          <w:lang w:val="en-US" w:eastAsia="zh-CN"/>
        </w:rPr>
        <w:drawing>
          <wp:inline distT="0" distB="0" distL="114300" distR="114300">
            <wp:extent cx="5497195" cy="4123055"/>
            <wp:effectExtent l="0" t="0" r="8255" b="10795"/>
            <wp:docPr id="12" name="图片 12" descr="IMG_20250226_13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26_134106"/>
                    <pic:cNvPicPr>
                      <a:picLocks noChangeAspect="1"/>
                    </pic:cNvPicPr>
                  </pic:nvPicPr>
                  <pic:blipFill>
                    <a:blip r:embed="rId8"/>
                    <a:stretch>
                      <a:fillRect/>
                    </a:stretch>
                  </pic:blipFill>
                  <pic:spPr>
                    <a:xfrm>
                      <a:off x="0" y="0"/>
                      <a:ext cx="5497195" cy="4123055"/>
                    </a:xfrm>
                    <a:prstGeom prst="rect">
                      <a:avLst/>
                    </a:prstGeom>
                  </pic:spPr>
                </pic:pic>
              </a:graphicData>
            </a:graphic>
          </wp:inline>
        </w:drawing>
      </w:r>
    </w:p>
    <w:p w14:paraId="16CDF603">
      <w:pPr>
        <w:pStyle w:val="15"/>
        <w:widowControl w:val="0"/>
        <w:adjustRightInd w:val="0"/>
        <w:snapToGrid w:val="0"/>
        <w:spacing w:before="468" w:beforeLines="150" w:after="156" w:afterLines="50" w:line="360" w:lineRule="auto"/>
      </w:pPr>
      <w:bookmarkStart w:id="0" w:name="_Toc102634226"/>
      <w:bookmarkStart w:id="1" w:name="_Toc102634395"/>
      <w:bookmarkStart w:id="2" w:name="_Toc102633969"/>
      <w:bookmarkStart w:id="3" w:name="_Toc102633895"/>
      <w:bookmarkStart w:id="4" w:name="_Toc15033742"/>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3970"/>
      <w:bookmarkStart w:id="6" w:name="_Toc26504"/>
      <w:bookmarkStart w:id="7" w:name="_Toc208733856"/>
      <w:bookmarkStart w:id="8" w:name="_Toc272364524"/>
      <w:bookmarkStart w:id="9" w:name="_Toc30066"/>
      <w:bookmarkStart w:id="10" w:name="_Toc102634396"/>
      <w:bookmarkStart w:id="11" w:name="_Toc102633896"/>
      <w:bookmarkStart w:id="12" w:name="_Toc15033743"/>
      <w:bookmarkStart w:id="13" w:name="_Toc102634227"/>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1C449404">
      <w:pPr>
        <w:pStyle w:val="14"/>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 w:val="28"/>
          <w:szCs w:val="28"/>
          <w:lang w:eastAsia="zh-CN"/>
        </w:rPr>
        <w:t>中国石油天然气股份有限公司山东泰安销售分公司一零四国道满庄加油站</w:t>
      </w:r>
      <w:r>
        <w:rPr>
          <w:rFonts w:hint="eastAsia" w:ascii="宋体" w:hAnsi="宋体"/>
          <w:sz w:val="28"/>
          <w:szCs w:val="28"/>
        </w:rPr>
        <w:t>位于</w:t>
      </w:r>
      <w:r>
        <w:rPr>
          <w:rFonts w:hint="eastAsia" w:ascii="宋体" w:hAnsi="宋体"/>
          <w:sz w:val="28"/>
          <w:szCs w:val="28"/>
          <w:lang w:eastAsia="zh-CN"/>
        </w:rPr>
        <w:t>满庄镇北迎村104国道548公里处路东</w:t>
      </w:r>
      <w:r>
        <w:rPr>
          <w:rFonts w:hint="eastAsia" w:ascii="宋体" w:hAnsi="宋体" w:cs="宋体"/>
          <w:sz w:val="28"/>
        </w:rPr>
        <w:t>，</w:t>
      </w:r>
      <w:r>
        <w:rPr>
          <w:rFonts w:hint="eastAsia" w:ascii="宋体" w:hAnsi="宋体" w:cs="宋体"/>
          <w:sz w:val="28"/>
          <w:lang w:val="en-US" w:eastAsia="zh-CN"/>
        </w:rPr>
        <w:t>该站</w:t>
      </w:r>
      <w:r>
        <w:rPr>
          <w:rFonts w:hint="eastAsia" w:ascii="宋体" w:hAnsi="宋体" w:cs="宋体"/>
          <w:sz w:val="28"/>
          <w:szCs w:val="28"/>
          <w:lang w:eastAsia="zh-CN"/>
        </w:rPr>
        <w:t>东侧是大棚，南侧是空地，北侧是沿街房，西侧是G104国道、架空通信线，东北侧是架空电力线</w:t>
      </w:r>
      <w:r>
        <w:rPr>
          <w:rFonts w:hint="eastAsia" w:ascii="宋体" w:hAnsi="宋体"/>
          <w:szCs w:val="28"/>
          <w:lang w:eastAsia="zh-CN"/>
        </w:rPr>
        <w:t>。该站经营许可范围为汽油、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此次现状评价报告与上次报告相比，该站新增1台洗车机，更换1台变压器，卸油作业区新增人体静电释放仪，加油区新增3台可燃气体探测器，其余周边环境、站内设备设施、主要建构筑物均未发生变化。</w:t>
      </w:r>
    </w:p>
    <w:p w14:paraId="58C75F97">
      <w:pPr>
        <w:pStyle w:val="14"/>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站区东部</w:t>
      </w:r>
      <w:r>
        <w:rPr>
          <w:rFonts w:hint="eastAsia" w:ascii="宋体" w:hAnsi="宋体"/>
          <w:szCs w:val="28"/>
        </w:rPr>
        <w:t>，加油区在</w:t>
      </w:r>
      <w:r>
        <w:rPr>
          <w:rFonts w:hint="eastAsia" w:ascii="宋体" w:hAnsi="宋体"/>
          <w:szCs w:val="28"/>
          <w:lang w:val="en-US" w:eastAsia="zh-CN"/>
        </w:rPr>
        <w:t>站房西</w:t>
      </w:r>
      <w:r>
        <w:rPr>
          <w:rFonts w:hint="eastAsia" w:ascii="宋体" w:hAnsi="宋体"/>
          <w:szCs w:val="28"/>
        </w:rPr>
        <w:t>侧，现有</w:t>
      </w:r>
      <w:r>
        <w:rPr>
          <w:rFonts w:hint="eastAsia" w:ascii="宋体" w:hAnsi="宋体"/>
          <w:szCs w:val="28"/>
          <w:lang w:val="en-US" w:eastAsia="zh-CN"/>
        </w:rPr>
        <w:t>4台四枪加油机（7枪为自助）：1台四枪柴油加油机、1台92#乙醇汽油/柴油四枪加油机、2台92#乙醇汽油/95#汽油四枪加油机，均为潜油泵式</w:t>
      </w:r>
      <w:r>
        <w:rPr>
          <w:rFonts w:hint="eastAsia" w:ascii="宋体" w:hAnsi="宋体"/>
          <w:szCs w:val="28"/>
        </w:rPr>
        <w:t>；</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站房南</w:t>
      </w:r>
      <w:r>
        <w:rPr>
          <w:rFonts w:hint="eastAsia" w:ascii="宋体" w:hAnsi="宋体"/>
          <w:szCs w:val="28"/>
        </w:rPr>
        <w:t>侧，自</w:t>
      </w:r>
      <w:r>
        <w:rPr>
          <w:rFonts w:hint="eastAsia" w:ascii="宋体" w:hAnsi="宋体"/>
          <w:szCs w:val="28"/>
          <w:lang w:val="en-US" w:eastAsia="zh-CN"/>
        </w:rPr>
        <w:t>西</w:t>
      </w:r>
      <w:r>
        <w:rPr>
          <w:rFonts w:hint="eastAsia" w:ascii="宋体" w:hAnsi="宋体"/>
          <w:szCs w:val="28"/>
        </w:rPr>
        <w:t>向</w:t>
      </w:r>
      <w:r>
        <w:rPr>
          <w:rFonts w:hint="eastAsia" w:ascii="宋体" w:hAnsi="宋体"/>
          <w:szCs w:val="28"/>
          <w:lang w:val="en-US" w:eastAsia="zh-CN"/>
        </w:rPr>
        <w:t>东</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3台30m³柴油罐</w:t>
      </w:r>
      <w:r>
        <w:rPr>
          <w:rFonts w:hint="eastAsia" w:ascii="宋体" w:hAnsi="宋体"/>
          <w:szCs w:val="28"/>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位于罐区西侧，罐区南侧</w:t>
      </w:r>
      <w:r>
        <w:rPr>
          <w:rFonts w:hint="eastAsia" w:ascii="宋体" w:hAnsi="宋体"/>
          <w:szCs w:val="28"/>
        </w:rPr>
        <w:t>共有通气管</w:t>
      </w:r>
      <w:r>
        <w:rPr>
          <w:rFonts w:hint="eastAsia" w:ascii="宋体" w:hAnsi="宋体"/>
          <w:szCs w:val="28"/>
          <w:lang w:val="en-US" w:eastAsia="zh-CN"/>
        </w:rPr>
        <w:t>6</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60</w:t>
      </w:r>
      <w:r>
        <w:rPr>
          <w:rFonts w:hint="eastAsia" w:ascii="宋体" w:hAnsi="宋体"/>
          <w:szCs w:val="28"/>
        </w:rPr>
        <w:t>+</w:t>
      </w:r>
      <w:r>
        <w:rPr>
          <w:rFonts w:hint="eastAsia" w:ascii="宋体" w:hAnsi="宋体"/>
          <w:szCs w:val="28"/>
          <w:lang w:val="en-US" w:eastAsia="zh-CN"/>
        </w:rPr>
        <w:t>90</w:t>
      </w:r>
      <w:r>
        <w:rPr>
          <w:rFonts w:hint="eastAsia" w:ascii="宋体" w:hAnsi="宋体"/>
          <w:szCs w:val="28"/>
        </w:rPr>
        <w:t>/2=</w:t>
      </w:r>
      <w:r>
        <w:rPr>
          <w:rFonts w:hint="eastAsia" w:ascii="宋体" w:hAnsi="宋体"/>
          <w:szCs w:val="28"/>
          <w:lang w:val="en-US" w:eastAsia="zh-CN"/>
        </w:rPr>
        <w:t>105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装置（三次油气回收系统）</w:t>
      </w:r>
      <w:r>
        <w:rPr>
          <w:rFonts w:hint="eastAsia" w:ascii="宋体"/>
        </w:rPr>
        <w:t>。</w:t>
      </w:r>
    </w:p>
    <w:p w14:paraId="637466F2">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2294E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31AE7F4">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3899A29B">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3A3BF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30AA1249">
            <w:pPr>
              <w:pStyle w:val="17"/>
              <w:keepLines w:val="0"/>
              <w:widowControl w:val="0"/>
              <w:overflowPunct/>
              <w:bidi w:val="0"/>
              <w:adjustRightInd w:val="0"/>
              <w:snapToGrid w:val="0"/>
              <w:spacing w:line="360" w:lineRule="auto"/>
              <w:rPr>
                <w:rFonts w:ascii="宋体" w:hAnsi="宋体"/>
                <w:b/>
                <w:bCs/>
              </w:rPr>
            </w:pPr>
          </w:p>
        </w:tc>
        <w:tc>
          <w:tcPr>
            <w:tcW w:w="1667" w:type="pct"/>
            <w:vAlign w:val="center"/>
          </w:tcPr>
          <w:p w14:paraId="7A0DF2B0">
            <w:pPr>
              <w:pStyle w:val="17"/>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573776F0">
            <w:pPr>
              <w:pStyle w:val="17"/>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58869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56A45C4">
            <w:pPr>
              <w:pStyle w:val="17"/>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57566B4A">
            <w:pPr>
              <w:pStyle w:val="17"/>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4B2E8A70">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6DBBC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C2AA5B7">
            <w:pPr>
              <w:pStyle w:val="17"/>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0D3EE98B">
            <w:pPr>
              <w:pStyle w:val="17"/>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23DC683F">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33FF3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BC08C81">
            <w:pPr>
              <w:pStyle w:val="17"/>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3613E0BF">
            <w:pPr>
              <w:pStyle w:val="17"/>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32BCE591">
            <w:pPr>
              <w:pStyle w:val="17"/>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4E3AF4A4">
      <w:pPr>
        <w:pStyle w:val="18"/>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37136DAF">
      <w:pPr>
        <w:pStyle w:val="14"/>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7</w:t>
      </w:r>
      <w:r>
        <w:rPr>
          <w:rFonts w:hint="eastAsia" w:ascii="宋体"/>
        </w:rPr>
        <w:t>人，其中主要负责人1人，安全生产管理人员1人。主要负责人和安全生产管理人员已参加了危险化学品安全管理培训，并取得考核合格证，详见附件。</w:t>
      </w:r>
    </w:p>
    <w:p w14:paraId="57807014">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2009年06月24日，该站取得了国有土地使用证，编号：泰土国用（2009）第D-0186号，终止日期为2019年06月04日</w:t>
      </w:r>
      <w:r>
        <w:rPr>
          <w:rFonts w:hint="eastAsia" w:ascii="宋体"/>
          <w:color w:val="000000" w:themeColor="text1"/>
          <w14:textFill>
            <w14:solidFill>
              <w14:schemeClr w14:val="tx1"/>
            </w14:solidFill>
          </w14:textFill>
        </w:rPr>
        <w:t>，详见附件。</w:t>
      </w:r>
    </w:p>
    <w:p w14:paraId="6F4DF256">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2010</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泰安</w:t>
      </w:r>
      <w:r>
        <w:rPr>
          <w:rFonts w:hint="eastAsia" w:ascii="宋体"/>
          <w:color w:val="000000" w:themeColor="text1"/>
          <w14:textFill>
            <w14:solidFill>
              <w14:schemeClr w14:val="tx1"/>
            </w14:solidFill>
          </w14:textFill>
        </w:rPr>
        <w:t>市公安消防</w:t>
      </w:r>
      <w:r>
        <w:rPr>
          <w:rFonts w:hint="eastAsia" w:ascii="宋体"/>
          <w:color w:val="000000" w:themeColor="text1"/>
          <w:lang w:val="en-US" w:eastAsia="zh-CN"/>
          <w14:textFill>
            <w14:solidFill>
              <w14:schemeClr w14:val="tx1"/>
            </w14:solidFill>
          </w14:textFill>
        </w:rPr>
        <w:t>分局</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建设工程消防验收意见书</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验</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第010</w:t>
      </w:r>
      <w:r>
        <w:rPr>
          <w:rFonts w:hint="eastAsia" w:ascii="宋体"/>
          <w:color w:val="000000" w:themeColor="text1"/>
          <w14:textFill>
            <w14:solidFill>
              <w14:schemeClr w14:val="tx1"/>
            </w14:solidFill>
          </w14:textFill>
        </w:rPr>
        <w:t>号。详见附件。</w:t>
      </w:r>
    </w:p>
    <w:p w14:paraId="453A8F13">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了《成品油零售经营批准证书》，证书编号：鲁油零售证书第37090</w:t>
      </w:r>
      <w:r>
        <w:rPr>
          <w:rFonts w:hint="eastAsia" w:ascii="宋体"/>
          <w:color w:val="000000" w:themeColor="text1"/>
          <w:lang w:val="en-US" w:eastAsia="zh-CN"/>
          <w14:textFill>
            <w14:solidFill>
              <w14:schemeClr w14:val="tx1"/>
            </w14:solidFill>
          </w14:textFill>
        </w:rPr>
        <w:t>32018</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7</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日，证书见附件。</w:t>
      </w:r>
    </w:p>
    <w:p w14:paraId="20754F92">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了《危险化学品经营许可证》，证书编号：鲁泰危化经[202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000255</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日，证书见附件。</w:t>
      </w:r>
    </w:p>
    <w:p w14:paraId="188567A9">
      <w:pPr>
        <w:pStyle w:val="14"/>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D-TADY0039</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加油站雷电防护</w:t>
      </w:r>
      <w:r>
        <w:rPr>
          <w:rFonts w:hint="eastAsia" w:ascii="宋体"/>
          <w:color w:val="000000" w:themeColor="text1"/>
          <w14:textFill>
            <w14:solidFill>
              <w14:schemeClr w14:val="tx1"/>
            </w14:solidFill>
          </w14:textFill>
        </w:rPr>
        <w:t>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25</w:t>
      </w:r>
      <w:r>
        <w:rPr>
          <w:rFonts w:hint="eastAsia" w:ascii="宋体"/>
          <w:color w:val="000000" w:themeColor="text1"/>
          <w14:textFill>
            <w14:solidFill>
              <w14:schemeClr w14:val="tx1"/>
            </w14:solidFill>
          </w14:textFill>
        </w:rPr>
        <w:t>日，检测报告见附件。</w:t>
      </w:r>
    </w:p>
    <w:p w14:paraId="106562CB">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在</w:t>
      </w:r>
      <w:r>
        <w:rPr>
          <w:rFonts w:hint="eastAsia" w:ascii="宋体"/>
          <w:color w:val="000000" w:themeColor="text1"/>
          <w:lang w:val="en-US" w:eastAsia="zh-CN"/>
          <w14:textFill>
            <w14:solidFill>
              <w14:schemeClr w14:val="tx1"/>
            </w14:solidFill>
          </w14:textFill>
        </w:rPr>
        <w:t>中国太平洋</w:t>
      </w:r>
      <w:r>
        <w:rPr>
          <w:rFonts w:hint="eastAsia" w:ascii="宋体"/>
          <w:color w:val="000000" w:themeColor="text1"/>
          <w14:textFill>
            <w14:solidFill>
              <w14:schemeClr w14:val="tx1"/>
            </w14:solidFill>
          </w14:textFill>
        </w:rPr>
        <w:t>财产保险</w:t>
      </w:r>
      <w:r>
        <w:rPr>
          <w:rFonts w:hint="eastAsia" w:ascii="宋体"/>
          <w:color w:val="000000" w:themeColor="text1"/>
          <w:lang w:val="en-US" w:eastAsia="zh-CN"/>
          <w14:textFill>
            <w14:solidFill>
              <w14:schemeClr w14:val="tx1"/>
            </w14:solidFill>
          </w14:textFill>
        </w:rPr>
        <w:t>股份</w:t>
      </w:r>
      <w:r>
        <w:rPr>
          <w:rFonts w:hint="eastAsia" w:ascii="宋体"/>
          <w:color w:val="000000" w:themeColor="text1"/>
          <w14:textFill>
            <w14:solidFill>
              <w14:schemeClr w14:val="tx1"/>
            </w14:solidFill>
          </w14:textFill>
        </w:rPr>
        <w:t>有限公司投保了安全生产责任保险，保险期限为202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09CCC650">
      <w:pPr>
        <w:pStyle w:val="14"/>
        <w:keepLines w:val="0"/>
        <w:widowControl w:val="0"/>
        <w:overflowPunct/>
        <w:bidi w:val="0"/>
        <w:adjustRightInd w:val="0"/>
        <w:snapToGrid w:val="0"/>
        <w:spacing w:line="360" w:lineRule="auto"/>
        <w:ind w:firstLine="560"/>
        <w:rPr>
          <w:rFonts w:hint="default" w:ascii="宋体" w:eastAsia="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2025年01月，哈尔滨东方报警设备开发有限公司为该站的可燃气体探测器出具了检验报告，检验结论为合格。详见附件。</w:t>
      </w:r>
    </w:p>
    <w:p w14:paraId="4678FF1E">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18</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lang w:eastAsia="zh-CN"/>
          <w14:textFill>
            <w14:solidFill>
              <w14:schemeClr w14:val="tx1"/>
            </w14:solidFill>
          </w14:textFill>
        </w:rPr>
        <w:t>-0</w:t>
      </w:r>
      <w:r>
        <w:rPr>
          <w:rFonts w:hint="eastAsia" w:ascii="宋体"/>
          <w:color w:val="000000" w:themeColor="text1"/>
          <w:lang w:val="en-US" w:eastAsia="zh-CN"/>
          <w14:textFill>
            <w14:solidFill>
              <w14:schemeClr w14:val="tx1"/>
            </w14:solidFill>
          </w14:textFill>
        </w:rPr>
        <w:t>014</w:t>
      </w:r>
      <w:r>
        <w:rPr>
          <w:rFonts w:hint="eastAsia" w:ascii="宋体"/>
          <w:color w:val="000000" w:themeColor="text1"/>
          <w14:textFill>
            <w14:solidFill>
              <w14:schemeClr w14:val="tx1"/>
            </w14:solidFill>
          </w14:textFill>
        </w:rPr>
        <w:t>，详见附件。</w:t>
      </w:r>
    </w:p>
    <w:p w14:paraId="7752753B">
      <w:pPr>
        <w:pStyle w:val="14"/>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390E510D">
      <w:pPr>
        <w:pStyle w:val="14"/>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19</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6</w:t>
      </w:r>
      <w:r>
        <w:rPr>
          <w:rFonts w:hint="eastAsia" w:ascii="宋体"/>
        </w:rPr>
        <w:t>具，灭火毯</w:t>
      </w:r>
      <w:r>
        <w:rPr>
          <w:rFonts w:hint="eastAsia" w:ascii="宋体"/>
          <w:lang w:val="en-US" w:eastAsia="zh-CN"/>
        </w:rPr>
        <w:t>9</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31CF3BA2">
      <w:pPr>
        <w:pStyle w:val="14"/>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5"/>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255"/>
      <w:bookmarkStart w:id="15" w:name="_Toc102633980"/>
      <w:bookmarkStart w:id="16" w:name="_Toc102634406"/>
      <w:bookmarkStart w:id="17" w:name="_Toc102633906"/>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198026273"/>
      <w:bookmarkStart w:id="19" w:name="_Toc238007574"/>
      <w:bookmarkStart w:id="20" w:name="_Toc15033754"/>
      <w:bookmarkStart w:id="21" w:name="_Toc23543"/>
      <w:bookmarkStart w:id="22" w:name="_Toc102634256"/>
      <w:bookmarkStart w:id="23" w:name="_Toc272364536"/>
      <w:bookmarkStart w:id="24" w:name="_Toc192907201"/>
      <w:bookmarkStart w:id="25" w:name="_Toc102633907"/>
      <w:bookmarkStart w:id="26" w:name="_Toc102633981"/>
      <w:bookmarkStart w:id="27" w:name="_Toc102634407"/>
      <w:bookmarkStart w:id="28" w:name="_Toc7829"/>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1FA94B7F">
      <w:pPr>
        <w:pStyle w:val="14"/>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B48D9">
      <w:pPr>
        <w:pStyle w:val="19"/>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58BE1289">
      <w:pPr>
        <w:pStyle w:val="14"/>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EA653F9">
      <w:pPr>
        <w:pStyle w:val="14"/>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94D6C7">
      <w:pPr>
        <w:pStyle w:val="19"/>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D242F6B">
      <w:pPr>
        <w:pStyle w:val="14"/>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6C95144">
      <w:pPr>
        <w:pStyle w:val="14"/>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0FD3054">
      <w:pPr>
        <w:pStyle w:val="14"/>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7513A9AF">
      <w:pPr>
        <w:pStyle w:val="14"/>
        <w:keepLines w:val="0"/>
        <w:widowControl w:val="0"/>
        <w:overflowPunct/>
        <w:bidi w:val="0"/>
        <w:adjustRightInd w:val="0"/>
        <w:snapToGrid w:val="0"/>
        <w:spacing w:line="360" w:lineRule="auto"/>
        <w:ind w:firstLine="560"/>
        <w:rPr>
          <w:rFonts w:ascii="宋体"/>
        </w:rPr>
      </w:pPr>
      <w:r>
        <w:rPr>
          <w:rFonts w:ascii="宋体"/>
        </w:rPr>
        <w:t>1、安全管理；</w:t>
      </w:r>
    </w:p>
    <w:p w14:paraId="045CD1CB">
      <w:pPr>
        <w:pStyle w:val="14"/>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4F47B43">
      <w:pPr>
        <w:pStyle w:val="14"/>
        <w:keepLines w:val="0"/>
        <w:widowControl w:val="0"/>
        <w:overflowPunct/>
        <w:bidi w:val="0"/>
        <w:adjustRightInd w:val="0"/>
        <w:snapToGrid w:val="0"/>
        <w:spacing w:line="360" w:lineRule="auto"/>
        <w:ind w:firstLine="560"/>
        <w:rPr>
          <w:rFonts w:ascii="宋体"/>
        </w:rPr>
      </w:pPr>
      <w:r>
        <w:rPr>
          <w:rFonts w:ascii="宋体"/>
        </w:rPr>
        <w:t>3、加油工艺及设施；</w:t>
      </w:r>
    </w:p>
    <w:p w14:paraId="0B83ADD8">
      <w:pPr>
        <w:pStyle w:val="14"/>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198026274"/>
      <w:bookmarkStart w:id="32" w:name="_Toc192907202"/>
      <w:bookmarkStart w:id="33" w:name="_Toc238007575"/>
      <w:bookmarkStart w:id="34" w:name="_Toc188080068"/>
      <w:bookmarkStart w:id="35" w:name="_Toc15033755"/>
      <w:bookmarkStart w:id="36" w:name="_Toc19785"/>
      <w:bookmarkStart w:id="37" w:name="_Toc24232"/>
      <w:bookmarkStart w:id="38" w:name="_Toc272364537"/>
      <w:bookmarkStart w:id="39" w:name="_Toc188079886"/>
    </w:p>
    <w:p w14:paraId="1656ED1D">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408"/>
      <w:bookmarkStart w:id="41" w:name="_Toc102633908"/>
      <w:bookmarkStart w:id="42" w:name="_Toc102633982"/>
      <w:bookmarkStart w:id="43" w:name="_Toc102634259"/>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1CE079B2">
      <w:pPr>
        <w:pStyle w:val="14"/>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4481C3D">
      <w:pPr>
        <w:pStyle w:val="14"/>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29CB13E">
      <w:pPr>
        <w:pStyle w:val="14"/>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中国石油天然气股份有限公司山东泰安销售分公司一零四国道满庄加油站</w:t>
      </w:r>
      <w:r>
        <w:rPr>
          <w:rFonts w:ascii="宋体"/>
        </w:rPr>
        <w:t>的具体情况，选用安全检查表、事故树法及危险度评价法对加油站进行评价。具体应用如下表所示：</w:t>
      </w:r>
    </w:p>
    <w:p w14:paraId="60A28B5D">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AD7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B3D117">
            <w:pPr>
              <w:pStyle w:val="17"/>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9CBDE27">
            <w:pPr>
              <w:pStyle w:val="17"/>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B6869A8">
            <w:pPr>
              <w:pStyle w:val="17"/>
              <w:keepLines w:val="0"/>
              <w:widowControl w:val="0"/>
              <w:overflowPunct/>
              <w:bidi w:val="0"/>
              <w:adjustRightInd w:val="0"/>
              <w:snapToGrid w:val="0"/>
              <w:spacing w:line="360" w:lineRule="auto"/>
              <w:rPr>
                <w:rFonts w:ascii="宋体"/>
                <w:b/>
              </w:rPr>
            </w:pPr>
            <w:r>
              <w:rPr>
                <w:rFonts w:ascii="宋体"/>
                <w:b/>
                <w:lang w:val="en-GB"/>
              </w:rPr>
              <w:t>评价方法</w:t>
            </w:r>
          </w:p>
        </w:tc>
      </w:tr>
      <w:tr w14:paraId="01DC2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72972E9">
            <w:pPr>
              <w:pStyle w:val="17"/>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4D085F34">
            <w:pPr>
              <w:pStyle w:val="17"/>
              <w:keepLines w:val="0"/>
              <w:widowControl w:val="0"/>
              <w:overflowPunct/>
              <w:bidi w:val="0"/>
              <w:adjustRightInd w:val="0"/>
              <w:snapToGrid w:val="0"/>
              <w:spacing w:line="360" w:lineRule="auto"/>
              <w:rPr>
                <w:rFonts w:ascii="宋体"/>
                <w:b/>
              </w:rPr>
            </w:pPr>
          </w:p>
        </w:tc>
        <w:tc>
          <w:tcPr>
            <w:tcW w:w="1196" w:type="pct"/>
            <w:vAlign w:val="center"/>
          </w:tcPr>
          <w:p w14:paraId="2E4DC081">
            <w:pPr>
              <w:pStyle w:val="17"/>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4E56B0A5">
            <w:pPr>
              <w:pStyle w:val="17"/>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70F5CF2">
            <w:pPr>
              <w:pStyle w:val="17"/>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715B7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C79187E">
            <w:pPr>
              <w:pStyle w:val="17"/>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09CEC1E">
            <w:pPr>
              <w:pStyle w:val="17"/>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9AE40AE">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1BA64DA">
            <w:pPr>
              <w:pStyle w:val="17"/>
              <w:keepLines w:val="0"/>
              <w:widowControl w:val="0"/>
              <w:overflowPunct/>
              <w:bidi w:val="0"/>
              <w:adjustRightInd w:val="0"/>
              <w:snapToGrid w:val="0"/>
              <w:spacing w:line="360" w:lineRule="auto"/>
              <w:rPr>
                <w:rFonts w:ascii="宋体"/>
              </w:rPr>
            </w:pPr>
          </w:p>
        </w:tc>
        <w:tc>
          <w:tcPr>
            <w:tcW w:w="972" w:type="pct"/>
            <w:vAlign w:val="center"/>
          </w:tcPr>
          <w:p w14:paraId="28C540F7">
            <w:pPr>
              <w:pStyle w:val="17"/>
              <w:keepLines w:val="0"/>
              <w:widowControl w:val="0"/>
              <w:overflowPunct/>
              <w:bidi w:val="0"/>
              <w:adjustRightInd w:val="0"/>
              <w:snapToGrid w:val="0"/>
              <w:spacing w:line="360" w:lineRule="auto"/>
              <w:rPr>
                <w:rFonts w:ascii="宋体"/>
              </w:rPr>
            </w:pPr>
          </w:p>
        </w:tc>
      </w:tr>
      <w:tr w14:paraId="39EE9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47A9EC">
            <w:pPr>
              <w:pStyle w:val="17"/>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1EB576C5">
            <w:pPr>
              <w:pStyle w:val="17"/>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21CE835">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2DF3730">
            <w:pPr>
              <w:pStyle w:val="17"/>
              <w:keepLines w:val="0"/>
              <w:widowControl w:val="0"/>
              <w:overflowPunct/>
              <w:bidi w:val="0"/>
              <w:adjustRightInd w:val="0"/>
              <w:snapToGrid w:val="0"/>
              <w:spacing w:line="360" w:lineRule="auto"/>
              <w:rPr>
                <w:rFonts w:ascii="宋体"/>
              </w:rPr>
            </w:pPr>
          </w:p>
        </w:tc>
        <w:tc>
          <w:tcPr>
            <w:tcW w:w="972" w:type="pct"/>
            <w:vAlign w:val="center"/>
          </w:tcPr>
          <w:p w14:paraId="41CDDB46">
            <w:pPr>
              <w:pStyle w:val="17"/>
              <w:keepLines w:val="0"/>
              <w:widowControl w:val="0"/>
              <w:overflowPunct/>
              <w:bidi w:val="0"/>
              <w:adjustRightInd w:val="0"/>
              <w:snapToGrid w:val="0"/>
              <w:spacing w:line="360" w:lineRule="auto"/>
              <w:rPr>
                <w:rFonts w:ascii="宋体"/>
              </w:rPr>
            </w:pPr>
          </w:p>
        </w:tc>
      </w:tr>
      <w:tr w14:paraId="5FDFE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2D8BEA1">
            <w:pPr>
              <w:pStyle w:val="17"/>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4B581359">
            <w:pPr>
              <w:pStyle w:val="17"/>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D407303">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EF515B6">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13DCAC03">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r>
      <w:tr w14:paraId="39ED6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A588D3C">
            <w:pPr>
              <w:pStyle w:val="17"/>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4F0B8FF0">
            <w:pPr>
              <w:pStyle w:val="17"/>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39D4BD46">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513A3C2">
            <w:pPr>
              <w:pStyle w:val="17"/>
              <w:keepLines w:val="0"/>
              <w:widowControl w:val="0"/>
              <w:overflowPunct/>
              <w:bidi w:val="0"/>
              <w:adjustRightInd w:val="0"/>
              <w:snapToGrid w:val="0"/>
              <w:spacing w:line="360" w:lineRule="auto"/>
              <w:rPr>
                <w:rFonts w:ascii="宋体"/>
              </w:rPr>
            </w:pPr>
          </w:p>
        </w:tc>
        <w:tc>
          <w:tcPr>
            <w:tcW w:w="972" w:type="pct"/>
            <w:vAlign w:val="center"/>
          </w:tcPr>
          <w:p w14:paraId="2A75A9CE">
            <w:pPr>
              <w:pStyle w:val="17"/>
              <w:keepLines w:val="0"/>
              <w:widowControl w:val="0"/>
              <w:overflowPunct/>
              <w:bidi w:val="0"/>
              <w:adjustRightInd w:val="0"/>
              <w:snapToGrid w:val="0"/>
              <w:spacing w:line="360" w:lineRule="auto"/>
              <w:rPr>
                <w:rFonts w:ascii="宋体"/>
              </w:rPr>
            </w:pPr>
          </w:p>
        </w:tc>
      </w:tr>
    </w:tbl>
    <w:p w14:paraId="5246D7E8">
      <w:pPr>
        <w:pStyle w:val="14"/>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5"/>
        <w:keepLines w:val="0"/>
        <w:widowControl w:val="0"/>
        <w:overflowPunct/>
        <w:bidi w:val="0"/>
        <w:adjustRightInd w:val="0"/>
        <w:snapToGrid w:val="0"/>
        <w:spacing w:before="468" w:beforeLines="150" w:after="156" w:afterLines="50" w:line="360" w:lineRule="auto"/>
      </w:pPr>
      <w:bookmarkStart w:id="44" w:name="_Toc15033761"/>
      <w:bookmarkStart w:id="45" w:name="_Toc102633914"/>
      <w:bookmarkStart w:id="46" w:name="_Toc9894"/>
      <w:bookmarkStart w:id="47" w:name="_Toc102634276"/>
      <w:bookmarkStart w:id="48" w:name="_Toc102633988"/>
      <w:bookmarkStart w:id="49" w:name="_Toc102634414"/>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339456079"/>
      <w:bookmarkStart w:id="51" w:name="_Toc225046264"/>
      <w:bookmarkStart w:id="52" w:name="_Toc102633989"/>
      <w:bookmarkStart w:id="53" w:name="_Toc348877039"/>
      <w:bookmarkStart w:id="54" w:name="_Toc102634415"/>
      <w:bookmarkStart w:id="55" w:name="_Toc102634277"/>
      <w:bookmarkStart w:id="56" w:name="_Toc102633915"/>
      <w:bookmarkStart w:id="57" w:name="_Toc4961"/>
      <w:bookmarkStart w:id="58" w:name="_Toc242065302"/>
      <w:bookmarkStart w:id="59" w:name="_Toc15033762"/>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3EABC84F">
      <w:pPr>
        <w:keepLines w:val="0"/>
        <w:overflowPunct/>
        <w:bidi w:val="0"/>
        <w:adjustRightInd w:val="0"/>
        <w:snapToGrid w:val="0"/>
        <w:spacing w:line="360" w:lineRule="auto"/>
        <w:ind w:firstLine="560" w:firstLineChars="200"/>
        <w:rPr>
          <w:rFonts w:ascii="宋体"/>
          <w:kern w:val="0"/>
          <w:sz w:val="28"/>
          <w:szCs w:val="20"/>
        </w:rPr>
      </w:pPr>
      <w:bookmarkStart w:id="60" w:name="_Toc15033763"/>
      <w:bookmarkStart w:id="61" w:name="_Toc49590281"/>
      <w:r>
        <w:rPr>
          <w:rFonts w:ascii="宋体"/>
          <w:kern w:val="0"/>
          <w:sz w:val="28"/>
          <w:szCs w:val="20"/>
        </w:rPr>
        <w:t>通过现场检查和审查有关资料</w:t>
      </w:r>
      <w:r>
        <w:rPr>
          <w:rFonts w:hint="eastAsia" w:ascii="宋体"/>
          <w:kern w:val="0"/>
          <w:sz w:val="28"/>
          <w:szCs w:val="20"/>
        </w:rPr>
        <w:t>可以看出，该加油站发现以下问题：</w:t>
      </w:r>
    </w:p>
    <w:bookmarkEnd w:id="60"/>
    <w:bookmarkEnd w:id="61"/>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8"/>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停用变压器未设停用标识。</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停用变压器应设停用标识。</w:t>
            </w:r>
          </w:p>
        </w:tc>
      </w:tr>
    </w:tbl>
    <w:p w14:paraId="68232EEB">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58815" cy="8413115"/>
            <wp:effectExtent l="0" t="0" r="13335" b="6985"/>
            <wp:docPr id="16" name="图片 16" descr="扫描全能王 2025-04-28 11.2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04-28 11.25_4"/>
                    <pic:cNvPicPr>
                      <a:picLocks noChangeAspect="1"/>
                    </pic:cNvPicPr>
                  </pic:nvPicPr>
                  <pic:blipFill>
                    <a:blip r:embed="rId9"/>
                    <a:stretch>
                      <a:fillRect/>
                    </a:stretch>
                  </pic:blipFill>
                  <pic:spPr>
                    <a:xfrm>
                      <a:off x="0" y="0"/>
                      <a:ext cx="5758815" cy="841311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56275" cy="8810625"/>
            <wp:effectExtent l="0" t="0" r="15875" b="9525"/>
            <wp:docPr id="15" name="图片 15" descr="扫描全能王 2025-04-28 11.2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04-28 11.25_5"/>
                    <pic:cNvPicPr>
                      <a:picLocks noChangeAspect="1"/>
                    </pic:cNvPicPr>
                  </pic:nvPicPr>
                  <pic:blipFill>
                    <a:blip r:embed="rId10"/>
                    <a:stretch>
                      <a:fillRect/>
                    </a:stretch>
                  </pic:blipFill>
                  <pic:spPr>
                    <a:xfrm>
                      <a:off x="0" y="0"/>
                      <a:ext cx="5756275" cy="8810625"/>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5748655" cy="8572500"/>
            <wp:effectExtent l="0" t="0" r="4445" b="0"/>
            <wp:docPr id="14" name="图片 14" descr="扫描全能王 2025-04-28 11.2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04-28 11.25_6"/>
                    <pic:cNvPicPr>
                      <a:picLocks noChangeAspect="1"/>
                    </pic:cNvPicPr>
                  </pic:nvPicPr>
                  <pic:blipFill>
                    <a:blip r:embed="rId11"/>
                    <a:stretch>
                      <a:fillRect/>
                    </a:stretch>
                  </pic:blipFill>
                  <pic:spPr>
                    <a:xfrm>
                      <a:off x="0" y="0"/>
                      <a:ext cx="5748655" cy="8572500"/>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9EC3A01"/>
    <w:rsid w:val="2A9D36CA"/>
    <w:rsid w:val="2EB02BD7"/>
    <w:rsid w:val="2EC41433"/>
    <w:rsid w:val="335F1F61"/>
    <w:rsid w:val="355F439E"/>
    <w:rsid w:val="35CC29B8"/>
    <w:rsid w:val="3B343FFC"/>
    <w:rsid w:val="3BB85D78"/>
    <w:rsid w:val="3F2D6C63"/>
    <w:rsid w:val="420C1409"/>
    <w:rsid w:val="46BE3C6F"/>
    <w:rsid w:val="4706325F"/>
    <w:rsid w:val="48FE4AE5"/>
    <w:rsid w:val="4B7D0EF4"/>
    <w:rsid w:val="537F016A"/>
    <w:rsid w:val="54F4335B"/>
    <w:rsid w:val="563D798B"/>
    <w:rsid w:val="567C6788"/>
    <w:rsid w:val="579A241E"/>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99"/>
    <w:rPr>
      <w:rFonts w:ascii="宋体" w:hAnsi="Courier New"/>
      <w:kern w:val="0"/>
      <w:sz w:val="20"/>
      <w:szCs w:val="20"/>
    </w:rPr>
  </w:style>
  <w:style w:type="paragraph" w:styleId="6">
    <w:name w:val="Body Text First Indent"/>
    <w:basedOn w:val="3"/>
    <w:next w:val="1"/>
    <w:qFormat/>
    <w:uiPriority w:val="0"/>
    <w:pPr>
      <w:ind w:firstLine="420" w:firstLineChars="100"/>
    </w:pPr>
    <w:rPr>
      <w:b/>
      <w:sz w:val="24"/>
      <w:u w:val="single"/>
    </w:rPr>
  </w:style>
  <w:style w:type="paragraph" w:styleId="7">
    <w:name w:val="Body Text First Indent 2"/>
    <w:basedOn w:val="4"/>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0">
    <w:name w:val="111"/>
    <w:basedOn w:val="11"/>
    <w:qFormat/>
    <w:uiPriority w:val="0"/>
    <w:pPr>
      <w:widowControl/>
      <w:spacing w:beforeAutospacing="0" w:afterAutospacing="0"/>
      <w:jc w:val="left"/>
    </w:pPr>
    <w:rPr>
      <w:rFonts w:ascii="宋体" w:hAnsi="宋体" w:eastAsia="宋体" w:cs="宋体"/>
      <w:kern w:val="0"/>
      <w:sz w:val="24"/>
      <w:szCs w:val="24"/>
    </w:rPr>
  </w:style>
  <w:style w:type="paragraph" w:customStyle="1" w:styleId="11">
    <w:name w:val="题目"/>
    <w:basedOn w:val="1"/>
    <w:qFormat/>
    <w:uiPriority w:val="0"/>
    <w:pPr>
      <w:jc w:val="center"/>
      <w:outlineLvl w:val="0"/>
    </w:pPr>
    <w:rPr>
      <w:rFonts w:ascii="黑体" w:hAnsi="黑体" w:eastAsia="黑体"/>
      <w:sz w:val="32"/>
      <w:szCs w:val="32"/>
    </w:rPr>
  </w:style>
  <w:style w:type="paragraph" w:customStyle="1" w:styleId="12">
    <w:name w:val="Table Text"/>
    <w:basedOn w:val="1"/>
    <w:semiHidden/>
    <w:qFormat/>
    <w:uiPriority w:val="0"/>
    <w:rPr>
      <w:rFonts w:ascii="宋体" w:hAnsi="宋体" w:eastAsia="宋体" w:cs="宋体"/>
      <w:sz w:val="20"/>
      <w:szCs w:val="20"/>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5">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6">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7">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8">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9">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0">
    <w:name w:val="表内文字"/>
    <w:basedOn w:val="5"/>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3001</Words>
  <Characters>3313</Characters>
  <Lines>0</Lines>
  <Paragraphs>0</Paragraphs>
  <TotalTime>0</TotalTime>
  <ScaleCrop>false</ScaleCrop>
  <LinksUpToDate>false</LinksUpToDate>
  <CharactersWithSpaces>3346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2025-04-28T03:29:54Z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