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02629">
      <w:pPr>
        <w:spacing w:before="156" w:line="317" w:lineRule="auto"/>
        <w:ind w:left="3628" w:leftChars="-155" w:hanging="3953" w:hangingChars="1422"/>
        <w:jc w:val="center"/>
        <w:outlineLvl w:val="0"/>
        <w:rPr>
          <w:rFonts w:ascii="黑体" w:hAnsi="黑体" w:eastAsia="黑体" w:cs="黑体"/>
          <w:sz w:val="28"/>
          <w:szCs w:val="28"/>
        </w:rPr>
      </w:pPr>
      <w:r>
        <w:rPr>
          <w:rFonts w:hint="eastAsia" w:ascii="黑体" w:hAnsi="黑体" w:eastAsia="黑体" w:cs="黑体"/>
          <w:spacing w:val="-1"/>
          <w:sz w:val="28"/>
          <w:szCs w:val="28"/>
          <w:lang w:val="en-US" w:eastAsia="zh-CN"/>
        </w:rPr>
        <w:t>新泰市谷里镇后北村</w:t>
      </w:r>
      <w:r>
        <w:rPr>
          <w:rFonts w:ascii="黑体" w:hAnsi="黑体" w:eastAsia="黑体" w:cs="黑体"/>
          <w:spacing w:val="-1"/>
          <w:sz w:val="28"/>
          <w:szCs w:val="28"/>
        </w:rPr>
        <w:t>加油</w:t>
      </w:r>
      <w:r>
        <w:rPr>
          <w:rFonts w:hint="eastAsia" w:ascii="黑体" w:hAnsi="黑体" w:eastAsia="黑体" w:cs="黑体"/>
          <w:spacing w:val="-1"/>
          <w:sz w:val="28"/>
          <w:szCs w:val="28"/>
          <w:lang w:val="en-US" w:eastAsia="zh-CN"/>
        </w:rPr>
        <w:t>站</w:t>
      </w:r>
      <w:r>
        <w:rPr>
          <w:rFonts w:ascii="黑体" w:hAnsi="黑体" w:eastAsia="黑体" w:cs="黑体"/>
          <w:spacing w:val="-1"/>
          <w:sz w:val="28"/>
          <w:szCs w:val="28"/>
        </w:rPr>
        <w:t>经营危险化学品</w:t>
      </w:r>
      <w:r>
        <w:rPr>
          <w:rFonts w:ascii="黑体" w:hAnsi="黑体" w:eastAsia="黑体" w:cs="黑体"/>
          <w:spacing w:val="-2"/>
          <w:sz w:val="28"/>
          <w:szCs w:val="28"/>
        </w:rPr>
        <w:t>现状评价项目信息表</w:t>
      </w:r>
    </w:p>
    <w:p w14:paraId="05ED1C52">
      <w:pPr>
        <w:spacing w:before="168" w:line="228" w:lineRule="auto"/>
        <w:ind w:left="125"/>
        <w:rPr>
          <w:rFonts w:ascii="宋体" w:hAnsi="宋体" w:eastAsia="宋体" w:cs="宋体"/>
          <w:sz w:val="20"/>
          <w:szCs w:val="20"/>
        </w:rPr>
      </w:pPr>
      <w:r>
        <w:rPr>
          <w:rFonts w:ascii="宋体" w:hAnsi="宋体" w:eastAsia="宋体" w:cs="宋体"/>
          <w:spacing w:val="5"/>
          <w:sz w:val="20"/>
          <w:szCs w:val="20"/>
        </w:rPr>
        <w:t>项目编号：</w:t>
      </w:r>
    </w:p>
    <w:p w14:paraId="1CB0161A">
      <w:pPr>
        <w:spacing w:line="136" w:lineRule="auto"/>
        <w:rPr>
          <w:rFonts w:ascii="Arial"/>
          <w:sz w:val="2"/>
        </w:rPr>
      </w:pPr>
    </w:p>
    <w:tbl>
      <w:tblPr>
        <w:tblStyle w:val="7"/>
        <w:tblW w:w="8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0"/>
        <w:gridCol w:w="683"/>
        <w:gridCol w:w="1662"/>
        <w:gridCol w:w="3501"/>
        <w:gridCol w:w="1928"/>
      </w:tblGrid>
      <w:tr w14:paraId="2762D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1180" w:type="dxa"/>
            <w:vAlign w:val="top"/>
          </w:tcPr>
          <w:p w14:paraId="56342654">
            <w:pPr>
              <w:pStyle w:val="6"/>
              <w:spacing w:before="213" w:line="228" w:lineRule="auto"/>
              <w:ind w:left="120"/>
            </w:pPr>
            <w:r>
              <w:rPr>
                <w:spacing w:val="6"/>
              </w:rPr>
              <w:t>项目名称</w:t>
            </w:r>
          </w:p>
        </w:tc>
        <w:tc>
          <w:tcPr>
            <w:tcW w:w="7774" w:type="dxa"/>
            <w:gridSpan w:val="4"/>
            <w:vAlign w:val="center"/>
          </w:tcPr>
          <w:p w14:paraId="50A5A161">
            <w:pPr>
              <w:pStyle w:val="6"/>
              <w:spacing w:before="57" w:line="261" w:lineRule="auto"/>
              <w:ind w:right="318"/>
              <w:jc w:val="center"/>
            </w:pPr>
            <w:r>
              <w:rPr>
                <w:rFonts w:hint="eastAsia"/>
                <w:spacing w:val="9"/>
                <w:lang w:val="en-US" w:eastAsia="zh-CN"/>
              </w:rPr>
              <w:t>新泰市谷里镇后北村</w:t>
            </w:r>
            <w:r>
              <w:rPr>
                <w:spacing w:val="9"/>
              </w:rPr>
              <w:t>加油</w:t>
            </w:r>
            <w:r>
              <w:rPr>
                <w:rFonts w:hint="eastAsia"/>
                <w:spacing w:val="9"/>
                <w:lang w:val="en-US" w:eastAsia="zh-CN"/>
              </w:rPr>
              <w:t>站</w:t>
            </w:r>
            <w:r>
              <w:rPr>
                <w:spacing w:val="9"/>
              </w:rPr>
              <w:t>经营危险化学品</w:t>
            </w:r>
            <w:r>
              <w:rPr>
                <w:spacing w:val="6"/>
              </w:rPr>
              <w:t>现状评价</w:t>
            </w:r>
          </w:p>
        </w:tc>
      </w:tr>
      <w:tr w14:paraId="0D57B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4" w:hRule="atLeast"/>
        </w:trPr>
        <w:tc>
          <w:tcPr>
            <w:tcW w:w="1180" w:type="dxa"/>
            <w:vAlign w:val="top"/>
          </w:tcPr>
          <w:p w14:paraId="1E3F799C">
            <w:pPr>
              <w:spacing w:line="250" w:lineRule="auto"/>
              <w:rPr>
                <w:rFonts w:ascii="Arial"/>
                <w:sz w:val="21"/>
              </w:rPr>
            </w:pPr>
          </w:p>
          <w:p w14:paraId="20F0E89C">
            <w:pPr>
              <w:spacing w:line="250" w:lineRule="auto"/>
              <w:rPr>
                <w:rFonts w:ascii="Arial"/>
                <w:sz w:val="21"/>
              </w:rPr>
            </w:pPr>
          </w:p>
          <w:p w14:paraId="31894B23">
            <w:pPr>
              <w:spacing w:line="250" w:lineRule="auto"/>
              <w:rPr>
                <w:rFonts w:ascii="Arial"/>
                <w:sz w:val="21"/>
              </w:rPr>
            </w:pPr>
          </w:p>
          <w:p w14:paraId="6CEE7778">
            <w:pPr>
              <w:spacing w:line="250" w:lineRule="auto"/>
              <w:rPr>
                <w:rFonts w:ascii="Arial"/>
                <w:sz w:val="21"/>
              </w:rPr>
            </w:pPr>
          </w:p>
          <w:p w14:paraId="2FE2E969">
            <w:pPr>
              <w:spacing w:line="251" w:lineRule="auto"/>
              <w:rPr>
                <w:rFonts w:ascii="Arial"/>
                <w:sz w:val="21"/>
              </w:rPr>
            </w:pPr>
          </w:p>
          <w:p w14:paraId="319DBBD5">
            <w:pPr>
              <w:pStyle w:val="6"/>
              <w:spacing w:before="65" w:line="227" w:lineRule="auto"/>
              <w:ind w:left="120"/>
            </w:pPr>
            <w:r>
              <w:rPr>
                <w:spacing w:val="6"/>
              </w:rPr>
              <w:t>项目简介</w:t>
            </w:r>
          </w:p>
        </w:tc>
        <w:tc>
          <w:tcPr>
            <w:tcW w:w="7774" w:type="dxa"/>
            <w:gridSpan w:val="4"/>
            <w:vAlign w:val="top"/>
          </w:tcPr>
          <w:p w14:paraId="6C29FD32">
            <w:pPr>
              <w:pStyle w:val="6"/>
              <w:spacing w:before="30" w:line="371" w:lineRule="auto"/>
              <w:ind w:left="112" w:right="38" w:firstLine="423"/>
              <w:jc w:val="both"/>
              <w:rPr>
                <w:rFonts w:hint="eastAsia" w:ascii="宋体" w:hAnsi="宋体" w:eastAsia="宋体" w:cs="宋体"/>
                <w:lang w:eastAsia="zh-CN"/>
              </w:rPr>
            </w:pPr>
            <w:r>
              <w:rPr>
                <w:rFonts w:hint="eastAsia" w:ascii="宋体" w:hAnsi="宋体" w:eastAsia="宋体" w:cs="宋体"/>
                <w:lang w:eastAsia="zh-CN"/>
              </w:rPr>
              <w:t>该加油站主要建有站房、油罐区、加油区。加油区在站房南侧，现有</w:t>
            </w:r>
            <w:r>
              <w:rPr>
                <w:rFonts w:hint="eastAsia" w:ascii="宋体" w:hAnsi="宋体" w:eastAsia="宋体" w:cs="宋体"/>
                <w:lang w:val="en-US" w:eastAsia="zh-CN"/>
              </w:rPr>
              <w:t>6</w:t>
            </w:r>
            <w:r>
              <w:rPr>
                <w:rFonts w:hint="eastAsia" w:ascii="宋体" w:hAnsi="宋体" w:eastAsia="宋体" w:cs="宋体"/>
                <w:lang w:eastAsia="zh-CN"/>
              </w:rPr>
              <w:t>台双枪加油机，均为</w:t>
            </w:r>
            <w:r>
              <w:rPr>
                <w:rFonts w:hint="eastAsia" w:ascii="宋体" w:hAnsi="宋体" w:eastAsia="宋体" w:cs="宋体"/>
                <w:lang w:val="en-US" w:eastAsia="zh-CN"/>
              </w:rPr>
              <w:t>自吸</w:t>
            </w:r>
            <w:r>
              <w:rPr>
                <w:rFonts w:hint="eastAsia" w:ascii="宋体" w:hAnsi="宋体" w:eastAsia="宋体" w:cs="宋体"/>
                <w:lang w:eastAsia="zh-CN"/>
              </w:rPr>
              <w:t>式；油罐区在站房</w:t>
            </w:r>
            <w:r>
              <w:rPr>
                <w:rFonts w:hint="eastAsia" w:ascii="宋体" w:hAnsi="宋体" w:eastAsia="宋体" w:cs="宋体"/>
                <w:lang w:val="en-US" w:eastAsia="zh-CN"/>
              </w:rPr>
              <w:t>东北</w:t>
            </w:r>
            <w:r>
              <w:rPr>
                <w:rFonts w:hint="eastAsia" w:ascii="宋体" w:hAnsi="宋体" w:eastAsia="宋体" w:cs="宋体"/>
                <w:lang w:eastAsia="zh-CN"/>
              </w:rPr>
              <w:t>侧，现有</w:t>
            </w:r>
            <w:r>
              <w:rPr>
                <w:rFonts w:hint="eastAsia" w:ascii="宋体" w:hAnsi="宋体" w:eastAsia="宋体" w:cs="宋体"/>
                <w:lang w:val="en-US" w:eastAsia="zh-CN"/>
              </w:rPr>
              <w:t>4</w:t>
            </w:r>
            <w:r>
              <w:rPr>
                <w:rFonts w:hint="eastAsia" w:ascii="宋体" w:hAnsi="宋体" w:eastAsia="宋体" w:cs="宋体"/>
                <w:lang w:eastAsia="zh-CN"/>
              </w:rPr>
              <w:t>台埋地双层储罐（1台</w:t>
            </w:r>
            <w:r>
              <w:rPr>
                <w:rFonts w:hint="eastAsia" w:ascii="宋体" w:hAnsi="宋体" w:eastAsia="宋体" w:cs="宋体"/>
                <w:lang w:val="en-US" w:eastAsia="zh-CN"/>
              </w:rPr>
              <w:t>3</w:t>
            </w:r>
            <w:r>
              <w:rPr>
                <w:rFonts w:hint="eastAsia" w:ascii="宋体" w:hAnsi="宋体" w:eastAsia="宋体" w:cs="宋体"/>
                <w:lang w:eastAsia="zh-CN"/>
              </w:rPr>
              <w:t>0m</w:t>
            </w:r>
            <w:r>
              <w:rPr>
                <w:rFonts w:hint="eastAsia" w:ascii="宋体" w:hAnsi="宋体" w:eastAsia="宋体" w:cs="宋体"/>
                <w:vertAlign w:val="superscript"/>
                <w:lang w:eastAsia="zh-CN"/>
              </w:rPr>
              <w:t>3</w:t>
            </w:r>
            <w:r>
              <w:rPr>
                <w:rFonts w:hint="eastAsia" w:ascii="宋体" w:hAnsi="宋体" w:eastAsia="宋体" w:cs="宋体"/>
                <w:lang w:eastAsia="zh-CN"/>
              </w:rPr>
              <w:t>92#汽油罐、1台</w:t>
            </w:r>
            <w:r>
              <w:rPr>
                <w:rFonts w:hint="eastAsia" w:ascii="宋体" w:hAnsi="宋体" w:eastAsia="宋体" w:cs="宋体"/>
                <w:lang w:val="en-US" w:eastAsia="zh-CN"/>
              </w:rPr>
              <w:t>3</w:t>
            </w:r>
            <w:r>
              <w:rPr>
                <w:rFonts w:hint="eastAsia" w:ascii="宋体" w:hAnsi="宋体" w:eastAsia="宋体" w:cs="宋体"/>
                <w:lang w:eastAsia="zh-CN"/>
              </w:rPr>
              <w:t>0m</w:t>
            </w:r>
            <w:r>
              <w:rPr>
                <w:rFonts w:hint="eastAsia" w:ascii="宋体" w:hAnsi="宋体" w:eastAsia="宋体" w:cs="宋体"/>
                <w:vertAlign w:val="superscript"/>
                <w:lang w:eastAsia="zh-CN"/>
              </w:rPr>
              <w:t>3</w:t>
            </w:r>
            <w:r>
              <w:rPr>
                <w:rFonts w:hint="eastAsia" w:ascii="宋体" w:hAnsi="宋体" w:eastAsia="宋体" w:cs="宋体"/>
                <w:lang w:eastAsia="zh-CN"/>
              </w:rPr>
              <w:t>9</w:t>
            </w:r>
            <w:r>
              <w:rPr>
                <w:rFonts w:hint="eastAsia" w:ascii="宋体" w:hAnsi="宋体" w:eastAsia="宋体" w:cs="宋体"/>
                <w:lang w:val="en-US" w:eastAsia="zh-CN"/>
              </w:rPr>
              <w:t>5</w:t>
            </w:r>
            <w:r>
              <w:rPr>
                <w:rFonts w:hint="eastAsia" w:ascii="宋体" w:hAnsi="宋体" w:eastAsia="宋体" w:cs="宋体"/>
                <w:lang w:eastAsia="zh-CN"/>
              </w:rPr>
              <w:t>#汽油罐、</w:t>
            </w:r>
            <w:r>
              <w:rPr>
                <w:rFonts w:hint="eastAsia" w:ascii="宋体" w:hAnsi="宋体" w:eastAsia="宋体" w:cs="宋体"/>
                <w:lang w:val="en-US" w:eastAsia="zh-CN"/>
              </w:rPr>
              <w:t>2</w:t>
            </w:r>
            <w:r>
              <w:rPr>
                <w:rFonts w:hint="eastAsia" w:ascii="宋体" w:hAnsi="宋体" w:eastAsia="宋体" w:cs="宋体"/>
                <w:lang w:eastAsia="zh-CN"/>
              </w:rPr>
              <w:t>台30m</w:t>
            </w:r>
            <w:r>
              <w:rPr>
                <w:rFonts w:hint="eastAsia" w:ascii="宋体" w:hAnsi="宋体" w:eastAsia="宋体" w:cs="宋体"/>
                <w:vertAlign w:val="superscript"/>
                <w:lang w:eastAsia="zh-CN"/>
              </w:rPr>
              <w:t>3</w:t>
            </w:r>
            <w:r>
              <w:rPr>
                <w:rFonts w:hint="eastAsia" w:ascii="宋体" w:hAnsi="宋体" w:eastAsia="宋体" w:cs="宋体"/>
                <w:lang w:eastAsia="zh-CN"/>
              </w:rPr>
              <w:t>柴油罐），</w:t>
            </w:r>
            <w:r>
              <w:rPr>
                <w:rFonts w:hint="eastAsia" w:ascii="宋体" w:hAnsi="宋体" w:eastAsia="宋体" w:cs="宋体"/>
                <w:lang w:val="en-US" w:eastAsia="zh-CN"/>
              </w:rPr>
              <w:t>4</w:t>
            </w:r>
            <w:r>
              <w:rPr>
                <w:rFonts w:hint="eastAsia" w:ascii="宋体" w:hAnsi="宋体" w:eastAsia="宋体" w:cs="宋体"/>
                <w:lang w:eastAsia="zh-CN"/>
              </w:rPr>
              <w:t>台油罐均安装了液位仪，其油罐埋地设置，通气管</w:t>
            </w:r>
            <w:r>
              <w:rPr>
                <w:rFonts w:hint="eastAsia" w:ascii="宋体" w:hAnsi="宋体" w:eastAsia="宋体" w:cs="宋体"/>
                <w:lang w:val="en-US" w:eastAsia="zh-CN"/>
              </w:rPr>
              <w:t>5</w:t>
            </w:r>
            <w:r>
              <w:rPr>
                <w:rFonts w:hint="eastAsia" w:ascii="宋体" w:hAnsi="宋体" w:eastAsia="宋体" w:cs="宋体"/>
                <w:lang w:eastAsia="zh-CN"/>
              </w:rPr>
              <w:t>根（油气回收装置1根）；该站汽油设有加油、卸油油气回收系统及油气处理装置（三次油气回收系统）；按《汽车加油加气加氢站技术标准》GB50156-2021标准规定：V=</w:t>
            </w:r>
            <w:r>
              <w:rPr>
                <w:rFonts w:hint="eastAsia" w:ascii="宋体" w:hAnsi="宋体" w:eastAsia="宋体" w:cs="宋体"/>
                <w:lang w:val="en-US" w:eastAsia="zh-CN"/>
              </w:rPr>
              <w:t>90</w:t>
            </w:r>
            <w:r>
              <w:rPr>
                <w:rFonts w:hint="eastAsia" w:ascii="宋体" w:hAnsi="宋体" w:eastAsia="宋体" w:cs="宋体"/>
                <w:lang w:eastAsia="zh-CN"/>
              </w:rPr>
              <w:t>m</w:t>
            </w:r>
            <w:r>
              <w:rPr>
                <w:rFonts w:hint="eastAsia" w:ascii="宋体" w:hAnsi="宋体" w:eastAsia="宋体" w:cs="宋体"/>
                <w:vertAlign w:val="superscript"/>
                <w:lang w:eastAsia="zh-CN"/>
              </w:rPr>
              <w:t>3</w:t>
            </w:r>
            <w:r>
              <w:rPr>
                <w:rFonts w:hint="eastAsia" w:ascii="宋体" w:hAnsi="宋体" w:eastAsia="宋体" w:cs="宋体"/>
                <w:lang w:eastAsia="zh-CN"/>
              </w:rPr>
              <w:t>，该站属三级加油站。</w:t>
            </w:r>
          </w:p>
        </w:tc>
      </w:tr>
      <w:tr w14:paraId="101AA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863" w:type="dxa"/>
            <w:gridSpan w:val="2"/>
            <w:vAlign w:val="top"/>
          </w:tcPr>
          <w:p w14:paraId="17A967BD">
            <w:pPr>
              <w:pStyle w:val="6"/>
              <w:spacing w:before="303" w:line="226" w:lineRule="auto"/>
              <w:ind w:left="516"/>
            </w:pPr>
            <w:r>
              <w:rPr>
                <w:spacing w:val="7"/>
              </w:rPr>
              <w:t>评价人员</w:t>
            </w:r>
          </w:p>
        </w:tc>
        <w:tc>
          <w:tcPr>
            <w:tcW w:w="5163" w:type="dxa"/>
            <w:gridSpan w:val="2"/>
            <w:vAlign w:val="top"/>
          </w:tcPr>
          <w:p w14:paraId="2BFFD54D">
            <w:pPr>
              <w:pStyle w:val="6"/>
              <w:spacing w:before="303" w:line="228" w:lineRule="auto"/>
              <w:ind w:left="2273"/>
            </w:pPr>
            <w:r>
              <w:t>姓</w:t>
            </w:r>
            <w:r>
              <w:rPr>
                <w:spacing w:val="10"/>
              </w:rPr>
              <w:t xml:space="preserve">  </w:t>
            </w:r>
            <w:r>
              <w:t>名</w:t>
            </w:r>
          </w:p>
        </w:tc>
        <w:tc>
          <w:tcPr>
            <w:tcW w:w="1928" w:type="dxa"/>
            <w:vAlign w:val="top"/>
          </w:tcPr>
          <w:p w14:paraId="7E0C50CA">
            <w:pPr>
              <w:pStyle w:val="6"/>
              <w:spacing w:before="303" w:line="229" w:lineRule="auto"/>
              <w:ind w:left="761"/>
            </w:pPr>
            <w:r>
              <w:rPr>
                <w:spacing w:val="3"/>
              </w:rPr>
              <w:t>备注</w:t>
            </w:r>
          </w:p>
        </w:tc>
      </w:tr>
      <w:tr w14:paraId="6B4D2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863" w:type="dxa"/>
            <w:gridSpan w:val="2"/>
            <w:vAlign w:val="top"/>
          </w:tcPr>
          <w:p w14:paraId="152FE82C">
            <w:pPr>
              <w:pStyle w:val="6"/>
              <w:spacing w:before="101" w:line="228" w:lineRule="auto"/>
              <w:ind w:left="415"/>
            </w:pPr>
            <w:r>
              <w:rPr>
                <w:spacing w:val="7"/>
              </w:rPr>
              <w:t>项目负责人</w:t>
            </w:r>
          </w:p>
        </w:tc>
        <w:tc>
          <w:tcPr>
            <w:tcW w:w="5163" w:type="dxa"/>
            <w:gridSpan w:val="2"/>
            <w:vAlign w:val="top"/>
          </w:tcPr>
          <w:p w14:paraId="7F1DFC3C">
            <w:pPr>
              <w:pStyle w:val="6"/>
              <w:spacing w:before="101" w:line="228" w:lineRule="auto"/>
              <w:ind w:left="2280"/>
            </w:pPr>
            <w:r>
              <w:rPr>
                <w:rFonts w:hint="eastAsia"/>
                <w:spacing w:val="7"/>
                <w:lang w:val="en-US" w:eastAsia="zh-CN"/>
              </w:rPr>
              <w:t>辛 磊</w:t>
            </w:r>
          </w:p>
        </w:tc>
        <w:tc>
          <w:tcPr>
            <w:tcW w:w="1928" w:type="dxa"/>
            <w:vAlign w:val="top"/>
          </w:tcPr>
          <w:p w14:paraId="1BED8A66">
            <w:pPr>
              <w:rPr>
                <w:rFonts w:ascii="Arial"/>
                <w:sz w:val="21"/>
              </w:rPr>
            </w:pPr>
          </w:p>
        </w:tc>
      </w:tr>
      <w:tr w14:paraId="700AD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63" w:type="dxa"/>
            <w:gridSpan w:val="2"/>
            <w:vMerge w:val="restart"/>
            <w:tcBorders>
              <w:bottom w:val="nil"/>
            </w:tcBorders>
            <w:vAlign w:val="top"/>
          </w:tcPr>
          <w:p w14:paraId="31978535">
            <w:pPr>
              <w:spacing w:line="259" w:lineRule="auto"/>
              <w:rPr>
                <w:rFonts w:ascii="Arial"/>
                <w:sz w:val="21"/>
              </w:rPr>
            </w:pPr>
          </w:p>
          <w:p w14:paraId="07194E52">
            <w:pPr>
              <w:spacing w:line="260" w:lineRule="auto"/>
              <w:rPr>
                <w:rFonts w:ascii="Arial"/>
                <w:sz w:val="21"/>
              </w:rPr>
            </w:pPr>
          </w:p>
          <w:p w14:paraId="2EEB3D8A">
            <w:pPr>
              <w:spacing w:line="260" w:lineRule="auto"/>
              <w:rPr>
                <w:rFonts w:ascii="Arial"/>
                <w:sz w:val="21"/>
              </w:rPr>
            </w:pPr>
          </w:p>
          <w:p w14:paraId="35731B8D">
            <w:pPr>
              <w:pStyle w:val="6"/>
              <w:spacing w:before="65" w:line="228" w:lineRule="auto"/>
              <w:ind w:left="415"/>
            </w:pPr>
            <w:r>
              <w:rPr>
                <w:spacing w:val="7"/>
              </w:rPr>
              <w:t>项目组成员</w:t>
            </w:r>
          </w:p>
        </w:tc>
        <w:tc>
          <w:tcPr>
            <w:tcW w:w="5163" w:type="dxa"/>
            <w:gridSpan w:val="2"/>
            <w:vAlign w:val="top"/>
          </w:tcPr>
          <w:p w14:paraId="1B2595E1">
            <w:pPr>
              <w:pStyle w:val="6"/>
              <w:spacing w:before="130" w:line="229" w:lineRule="auto"/>
              <w:ind w:firstLine="2288" w:firstLineChars="1100"/>
              <w:rPr>
                <w:rFonts w:hint="eastAsia" w:eastAsia="宋体"/>
                <w:lang w:eastAsia="zh-CN"/>
              </w:rPr>
            </w:pPr>
            <w:r>
              <w:rPr>
                <w:spacing w:val="4"/>
              </w:rPr>
              <w:t>马琳琳</w:t>
            </w:r>
          </w:p>
        </w:tc>
        <w:tc>
          <w:tcPr>
            <w:tcW w:w="1928" w:type="dxa"/>
            <w:vAlign w:val="top"/>
          </w:tcPr>
          <w:p w14:paraId="3AAF62AC">
            <w:pPr>
              <w:rPr>
                <w:rFonts w:ascii="Arial"/>
                <w:sz w:val="21"/>
              </w:rPr>
            </w:pPr>
          </w:p>
        </w:tc>
      </w:tr>
      <w:tr w14:paraId="1746B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63" w:type="dxa"/>
            <w:gridSpan w:val="2"/>
            <w:vMerge w:val="continue"/>
            <w:tcBorders>
              <w:top w:val="nil"/>
              <w:bottom w:val="nil"/>
            </w:tcBorders>
            <w:vAlign w:val="top"/>
          </w:tcPr>
          <w:p w14:paraId="218410DB">
            <w:pPr>
              <w:rPr>
                <w:rFonts w:ascii="Arial"/>
                <w:sz w:val="21"/>
              </w:rPr>
            </w:pPr>
          </w:p>
        </w:tc>
        <w:tc>
          <w:tcPr>
            <w:tcW w:w="5163" w:type="dxa"/>
            <w:gridSpan w:val="2"/>
            <w:vAlign w:val="top"/>
          </w:tcPr>
          <w:p w14:paraId="050B3E77">
            <w:pPr>
              <w:pStyle w:val="6"/>
              <w:spacing w:before="130" w:line="228" w:lineRule="auto"/>
              <w:ind w:left="2272"/>
              <w:rPr>
                <w:rFonts w:hint="eastAsia" w:eastAsia="宋体"/>
                <w:lang w:val="en-US" w:eastAsia="zh-CN"/>
              </w:rPr>
            </w:pPr>
            <w:r>
              <w:rPr>
                <w:rFonts w:hint="eastAsia"/>
                <w:lang w:val="en-US" w:eastAsia="zh-CN"/>
              </w:rPr>
              <w:t>刘卫国</w:t>
            </w:r>
          </w:p>
        </w:tc>
        <w:tc>
          <w:tcPr>
            <w:tcW w:w="1928" w:type="dxa"/>
            <w:vAlign w:val="top"/>
          </w:tcPr>
          <w:p w14:paraId="669730D4">
            <w:pPr>
              <w:rPr>
                <w:rFonts w:ascii="Arial"/>
                <w:sz w:val="21"/>
              </w:rPr>
            </w:pPr>
          </w:p>
        </w:tc>
      </w:tr>
      <w:tr w14:paraId="4C64D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3" w:hRule="atLeast"/>
        </w:trPr>
        <w:tc>
          <w:tcPr>
            <w:tcW w:w="1863" w:type="dxa"/>
            <w:gridSpan w:val="2"/>
            <w:vMerge w:val="continue"/>
            <w:tcBorders>
              <w:top w:val="nil"/>
              <w:bottom w:val="nil"/>
            </w:tcBorders>
            <w:vAlign w:val="top"/>
          </w:tcPr>
          <w:p w14:paraId="6C4188F0">
            <w:pPr>
              <w:rPr>
                <w:rFonts w:ascii="Arial"/>
                <w:sz w:val="21"/>
              </w:rPr>
            </w:pPr>
          </w:p>
        </w:tc>
        <w:tc>
          <w:tcPr>
            <w:tcW w:w="5163" w:type="dxa"/>
            <w:gridSpan w:val="2"/>
            <w:vAlign w:val="top"/>
          </w:tcPr>
          <w:p w14:paraId="4E7A6962">
            <w:pPr>
              <w:pStyle w:val="6"/>
              <w:spacing w:before="132" w:line="227" w:lineRule="auto"/>
              <w:ind w:left="2378"/>
            </w:pPr>
            <w:r>
              <w:rPr>
                <w:spacing w:val="3"/>
              </w:rPr>
              <w:t>王静</w:t>
            </w:r>
          </w:p>
        </w:tc>
        <w:tc>
          <w:tcPr>
            <w:tcW w:w="1928" w:type="dxa"/>
            <w:vAlign w:val="top"/>
          </w:tcPr>
          <w:p w14:paraId="311C5BE8">
            <w:pPr>
              <w:rPr>
                <w:rFonts w:ascii="Arial"/>
                <w:sz w:val="21"/>
              </w:rPr>
            </w:pPr>
          </w:p>
        </w:tc>
      </w:tr>
      <w:tr w14:paraId="09866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63" w:type="dxa"/>
            <w:gridSpan w:val="2"/>
            <w:vMerge w:val="continue"/>
            <w:tcBorders>
              <w:top w:val="nil"/>
            </w:tcBorders>
            <w:vAlign w:val="top"/>
          </w:tcPr>
          <w:p w14:paraId="58580295">
            <w:pPr>
              <w:rPr>
                <w:rFonts w:ascii="Arial"/>
                <w:sz w:val="21"/>
              </w:rPr>
            </w:pPr>
          </w:p>
        </w:tc>
        <w:tc>
          <w:tcPr>
            <w:tcW w:w="5163" w:type="dxa"/>
            <w:gridSpan w:val="2"/>
            <w:vAlign w:val="top"/>
          </w:tcPr>
          <w:p w14:paraId="6B34158D">
            <w:pPr>
              <w:pStyle w:val="6"/>
              <w:spacing w:before="132" w:line="228" w:lineRule="auto"/>
              <w:ind w:left="2273"/>
              <w:rPr>
                <w:rFonts w:hint="eastAsia" w:eastAsia="宋体"/>
                <w:lang w:eastAsia="zh-CN"/>
              </w:rPr>
            </w:pPr>
            <w:r>
              <w:rPr>
                <w:rFonts w:hint="eastAsia"/>
                <w:spacing w:val="6"/>
                <w:lang w:val="en-US" w:eastAsia="zh-CN"/>
              </w:rPr>
              <w:t>刘振忠</w:t>
            </w:r>
          </w:p>
        </w:tc>
        <w:tc>
          <w:tcPr>
            <w:tcW w:w="1928" w:type="dxa"/>
            <w:vAlign w:val="top"/>
          </w:tcPr>
          <w:p w14:paraId="3E3EAFA0">
            <w:pPr>
              <w:rPr>
                <w:rFonts w:ascii="Arial"/>
                <w:sz w:val="21"/>
              </w:rPr>
            </w:pPr>
          </w:p>
        </w:tc>
      </w:tr>
      <w:tr w14:paraId="026F7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863" w:type="dxa"/>
            <w:gridSpan w:val="2"/>
            <w:vAlign w:val="top"/>
          </w:tcPr>
          <w:p w14:paraId="76B80D44">
            <w:pPr>
              <w:pStyle w:val="6"/>
              <w:spacing w:before="95" w:line="226" w:lineRule="auto"/>
              <w:ind w:left="410"/>
            </w:pPr>
            <w:r>
              <w:rPr>
                <w:spacing w:val="8"/>
              </w:rPr>
              <w:t>报告编制人</w:t>
            </w:r>
          </w:p>
        </w:tc>
        <w:tc>
          <w:tcPr>
            <w:tcW w:w="5163" w:type="dxa"/>
            <w:gridSpan w:val="2"/>
            <w:vAlign w:val="top"/>
          </w:tcPr>
          <w:p w14:paraId="4EE98977">
            <w:pPr>
              <w:pStyle w:val="6"/>
              <w:spacing w:before="96" w:line="228" w:lineRule="auto"/>
              <w:ind w:left="2280"/>
              <w:rPr>
                <w:rFonts w:hint="eastAsia" w:eastAsia="宋体"/>
                <w:lang w:eastAsia="zh-CN"/>
              </w:rPr>
            </w:pPr>
            <w:r>
              <w:rPr>
                <w:rFonts w:hint="eastAsia"/>
                <w:spacing w:val="4"/>
                <w:lang w:val="en-US" w:eastAsia="zh-CN"/>
              </w:rPr>
              <w:t>辛磊</w:t>
            </w:r>
          </w:p>
        </w:tc>
        <w:tc>
          <w:tcPr>
            <w:tcW w:w="1928" w:type="dxa"/>
            <w:vAlign w:val="top"/>
          </w:tcPr>
          <w:p w14:paraId="0C0B7CC2">
            <w:pPr>
              <w:rPr>
                <w:rFonts w:ascii="Arial"/>
                <w:sz w:val="21"/>
              </w:rPr>
            </w:pPr>
          </w:p>
        </w:tc>
      </w:tr>
      <w:tr w14:paraId="4B5EB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4" w:hRule="atLeast"/>
        </w:trPr>
        <w:tc>
          <w:tcPr>
            <w:tcW w:w="1863" w:type="dxa"/>
            <w:gridSpan w:val="2"/>
            <w:vAlign w:val="top"/>
          </w:tcPr>
          <w:p w14:paraId="36751E35">
            <w:pPr>
              <w:pStyle w:val="6"/>
              <w:spacing w:before="97" w:line="226" w:lineRule="auto"/>
              <w:ind w:left="410"/>
            </w:pPr>
            <w:r>
              <w:rPr>
                <w:spacing w:val="8"/>
              </w:rPr>
              <w:t>报告审核人</w:t>
            </w:r>
          </w:p>
        </w:tc>
        <w:tc>
          <w:tcPr>
            <w:tcW w:w="5163" w:type="dxa"/>
            <w:gridSpan w:val="2"/>
            <w:vAlign w:val="top"/>
          </w:tcPr>
          <w:p w14:paraId="007E677D">
            <w:pPr>
              <w:pStyle w:val="6"/>
              <w:spacing w:before="97" w:line="229" w:lineRule="auto"/>
              <w:ind w:left="2376"/>
              <w:rPr>
                <w:rFonts w:hint="eastAsia" w:eastAsia="宋体"/>
                <w:lang w:eastAsia="zh-CN"/>
              </w:rPr>
            </w:pPr>
            <w:r>
              <w:rPr>
                <w:rFonts w:hint="eastAsia"/>
                <w:spacing w:val="4"/>
                <w:lang w:val="en-US" w:eastAsia="zh-CN"/>
              </w:rPr>
              <w:t>崔强</w:t>
            </w:r>
          </w:p>
        </w:tc>
        <w:tc>
          <w:tcPr>
            <w:tcW w:w="1928" w:type="dxa"/>
            <w:vAlign w:val="top"/>
          </w:tcPr>
          <w:p w14:paraId="70C89C38">
            <w:pPr>
              <w:rPr>
                <w:rFonts w:ascii="Arial"/>
                <w:sz w:val="21"/>
              </w:rPr>
            </w:pPr>
          </w:p>
        </w:tc>
      </w:tr>
      <w:tr w14:paraId="66CB0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863" w:type="dxa"/>
            <w:gridSpan w:val="2"/>
            <w:vAlign w:val="top"/>
          </w:tcPr>
          <w:p w14:paraId="467D9B38">
            <w:pPr>
              <w:pStyle w:val="6"/>
              <w:spacing w:before="110" w:line="228" w:lineRule="auto"/>
              <w:ind w:left="203"/>
            </w:pPr>
            <w:r>
              <w:rPr>
                <w:spacing w:val="8"/>
              </w:rPr>
              <w:t>过程控制负责人</w:t>
            </w:r>
          </w:p>
        </w:tc>
        <w:tc>
          <w:tcPr>
            <w:tcW w:w="5163" w:type="dxa"/>
            <w:gridSpan w:val="2"/>
            <w:vAlign w:val="top"/>
          </w:tcPr>
          <w:p w14:paraId="157CCBC9">
            <w:pPr>
              <w:pStyle w:val="6"/>
              <w:spacing w:before="110" w:line="229" w:lineRule="auto"/>
              <w:ind w:left="2272"/>
            </w:pPr>
            <w:r>
              <w:rPr>
                <w:spacing w:val="7"/>
              </w:rPr>
              <w:t>刘云红</w:t>
            </w:r>
          </w:p>
        </w:tc>
        <w:tc>
          <w:tcPr>
            <w:tcW w:w="1928" w:type="dxa"/>
            <w:vAlign w:val="top"/>
          </w:tcPr>
          <w:p w14:paraId="16925B08">
            <w:pPr>
              <w:rPr>
                <w:rFonts w:ascii="Arial"/>
                <w:sz w:val="21"/>
              </w:rPr>
            </w:pPr>
          </w:p>
        </w:tc>
      </w:tr>
      <w:tr w14:paraId="38CF6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863" w:type="dxa"/>
            <w:gridSpan w:val="2"/>
            <w:vAlign w:val="top"/>
          </w:tcPr>
          <w:p w14:paraId="72873030">
            <w:pPr>
              <w:pStyle w:val="6"/>
              <w:spacing w:before="96" w:line="228" w:lineRule="auto"/>
              <w:ind w:left="412"/>
            </w:pPr>
            <w:r>
              <w:rPr>
                <w:spacing w:val="7"/>
              </w:rPr>
              <w:t>技术负责人</w:t>
            </w:r>
          </w:p>
        </w:tc>
        <w:tc>
          <w:tcPr>
            <w:tcW w:w="5163" w:type="dxa"/>
            <w:gridSpan w:val="2"/>
            <w:vAlign w:val="top"/>
          </w:tcPr>
          <w:p w14:paraId="626DB1B1">
            <w:pPr>
              <w:pStyle w:val="6"/>
              <w:spacing w:before="96" w:line="228" w:lineRule="auto"/>
              <w:ind w:left="2272"/>
            </w:pPr>
            <w:r>
              <w:rPr>
                <w:spacing w:val="7"/>
              </w:rPr>
              <w:t>赵云峰</w:t>
            </w:r>
          </w:p>
        </w:tc>
        <w:tc>
          <w:tcPr>
            <w:tcW w:w="1928" w:type="dxa"/>
            <w:vAlign w:val="top"/>
          </w:tcPr>
          <w:p w14:paraId="13C305BE">
            <w:pPr>
              <w:rPr>
                <w:rFonts w:ascii="Arial"/>
                <w:sz w:val="21"/>
              </w:rPr>
            </w:pPr>
          </w:p>
        </w:tc>
      </w:tr>
      <w:tr w14:paraId="39BC8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863" w:type="dxa"/>
            <w:gridSpan w:val="2"/>
            <w:vMerge w:val="restart"/>
            <w:tcBorders>
              <w:bottom w:val="nil"/>
            </w:tcBorders>
            <w:vAlign w:val="top"/>
          </w:tcPr>
          <w:p w14:paraId="08DD3268">
            <w:pPr>
              <w:pStyle w:val="6"/>
              <w:spacing w:before="263" w:line="228" w:lineRule="auto"/>
              <w:ind w:left="518"/>
            </w:pPr>
            <w:r>
              <w:rPr>
                <w:spacing w:val="7"/>
              </w:rPr>
              <w:t>技术专家</w:t>
            </w:r>
          </w:p>
          <w:p w14:paraId="1D7CFC9B">
            <w:pPr>
              <w:pStyle w:val="6"/>
              <w:spacing w:before="64" w:line="228" w:lineRule="auto"/>
              <w:ind w:left="205"/>
            </w:pPr>
            <w:r>
              <w:rPr>
                <w:spacing w:val="8"/>
              </w:rPr>
              <w:t>或有关技术人员</w:t>
            </w:r>
          </w:p>
        </w:tc>
        <w:tc>
          <w:tcPr>
            <w:tcW w:w="5163" w:type="dxa"/>
            <w:gridSpan w:val="2"/>
            <w:vAlign w:val="top"/>
          </w:tcPr>
          <w:p w14:paraId="72075C6B">
            <w:pPr>
              <w:rPr>
                <w:rFonts w:ascii="Arial"/>
                <w:sz w:val="21"/>
              </w:rPr>
            </w:pPr>
          </w:p>
        </w:tc>
        <w:tc>
          <w:tcPr>
            <w:tcW w:w="1928" w:type="dxa"/>
            <w:vAlign w:val="top"/>
          </w:tcPr>
          <w:p w14:paraId="6A20BCC0">
            <w:pPr>
              <w:rPr>
                <w:rFonts w:ascii="Arial"/>
                <w:sz w:val="21"/>
              </w:rPr>
            </w:pPr>
          </w:p>
        </w:tc>
      </w:tr>
      <w:tr w14:paraId="0F586A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63" w:type="dxa"/>
            <w:gridSpan w:val="2"/>
            <w:vMerge w:val="continue"/>
            <w:tcBorders>
              <w:top w:val="nil"/>
              <w:bottom w:val="nil"/>
            </w:tcBorders>
            <w:vAlign w:val="top"/>
          </w:tcPr>
          <w:p w14:paraId="67789B26">
            <w:pPr>
              <w:rPr>
                <w:rFonts w:ascii="Arial"/>
                <w:sz w:val="21"/>
              </w:rPr>
            </w:pPr>
          </w:p>
        </w:tc>
        <w:tc>
          <w:tcPr>
            <w:tcW w:w="5163" w:type="dxa"/>
            <w:gridSpan w:val="2"/>
            <w:vAlign w:val="top"/>
          </w:tcPr>
          <w:p w14:paraId="68F253BF">
            <w:pPr>
              <w:rPr>
                <w:rFonts w:ascii="Arial"/>
                <w:sz w:val="21"/>
              </w:rPr>
            </w:pPr>
          </w:p>
        </w:tc>
        <w:tc>
          <w:tcPr>
            <w:tcW w:w="1928" w:type="dxa"/>
            <w:vAlign w:val="top"/>
          </w:tcPr>
          <w:p w14:paraId="776B5F62">
            <w:pPr>
              <w:rPr>
                <w:rFonts w:ascii="Arial"/>
                <w:sz w:val="21"/>
              </w:rPr>
            </w:pPr>
          </w:p>
        </w:tc>
      </w:tr>
      <w:tr w14:paraId="4BCA2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63" w:type="dxa"/>
            <w:gridSpan w:val="2"/>
            <w:vMerge w:val="continue"/>
            <w:tcBorders>
              <w:top w:val="nil"/>
            </w:tcBorders>
            <w:vAlign w:val="top"/>
          </w:tcPr>
          <w:p w14:paraId="5CF8F96C">
            <w:pPr>
              <w:rPr>
                <w:rFonts w:ascii="Arial"/>
                <w:sz w:val="21"/>
              </w:rPr>
            </w:pPr>
          </w:p>
        </w:tc>
        <w:tc>
          <w:tcPr>
            <w:tcW w:w="5163" w:type="dxa"/>
            <w:gridSpan w:val="2"/>
            <w:vAlign w:val="top"/>
          </w:tcPr>
          <w:p w14:paraId="19C4C330">
            <w:pPr>
              <w:rPr>
                <w:rFonts w:ascii="Arial"/>
                <w:sz w:val="21"/>
              </w:rPr>
            </w:pPr>
          </w:p>
        </w:tc>
        <w:tc>
          <w:tcPr>
            <w:tcW w:w="1928" w:type="dxa"/>
            <w:vAlign w:val="top"/>
          </w:tcPr>
          <w:p w14:paraId="58039929">
            <w:pPr>
              <w:rPr>
                <w:rFonts w:ascii="Arial"/>
                <w:sz w:val="21"/>
              </w:rPr>
            </w:pPr>
          </w:p>
        </w:tc>
      </w:tr>
      <w:tr w14:paraId="56380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863" w:type="dxa"/>
            <w:gridSpan w:val="2"/>
            <w:vMerge w:val="restart"/>
            <w:tcBorders>
              <w:bottom w:val="nil"/>
            </w:tcBorders>
            <w:vAlign w:val="center"/>
          </w:tcPr>
          <w:p w14:paraId="5E6B1A3C">
            <w:pPr>
              <w:pStyle w:val="6"/>
              <w:spacing w:before="65" w:line="273" w:lineRule="auto"/>
              <w:ind w:left="199" w:leftChars="95" w:right="194" w:firstLine="0" w:firstLineChars="0"/>
              <w:jc w:val="both"/>
            </w:pPr>
            <w:r>
              <w:rPr>
                <w:spacing w:val="7"/>
              </w:rPr>
              <w:t>到现场开展安全</w:t>
            </w:r>
            <w:r>
              <w:rPr>
                <w:spacing w:val="8"/>
              </w:rPr>
              <w:t>评价工作情况</w:t>
            </w:r>
          </w:p>
        </w:tc>
        <w:tc>
          <w:tcPr>
            <w:tcW w:w="1662" w:type="dxa"/>
            <w:vAlign w:val="top"/>
          </w:tcPr>
          <w:p w14:paraId="7F79C387">
            <w:pPr>
              <w:pStyle w:val="6"/>
              <w:spacing w:before="95" w:line="230" w:lineRule="auto"/>
              <w:ind w:left="531"/>
            </w:pPr>
            <w:r>
              <w:rPr>
                <w:spacing w:val="-5"/>
              </w:rPr>
              <w:t>时</w:t>
            </w:r>
            <w:r>
              <w:rPr>
                <w:spacing w:val="17"/>
              </w:rPr>
              <w:t xml:space="preserve">  </w:t>
            </w:r>
            <w:r>
              <w:rPr>
                <w:spacing w:val="-5"/>
              </w:rPr>
              <w:t>间</w:t>
            </w:r>
          </w:p>
        </w:tc>
        <w:tc>
          <w:tcPr>
            <w:tcW w:w="3501" w:type="dxa"/>
            <w:vAlign w:val="top"/>
          </w:tcPr>
          <w:p w14:paraId="483CCCD0">
            <w:pPr>
              <w:pStyle w:val="6"/>
              <w:spacing w:before="96" w:line="228" w:lineRule="auto"/>
              <w:ind w:left="1027"/>
            </w:pPr>
            <w:r>
              <w:rPr>
                <w:spacing w:val="7"/>
              </w:rPr>
              <w:t>到现场主要人员</w:t>
            </w:r>
          </w:p>
        </w:tc>
        <w:tc>
          <w:tcPr>
            <w:tcW w:w="1928" w:type="dxa"/>
            <w:vAlign w:val="top"/>
          </w:tcPr>
          <w:p w14:paraId="5D4B95EA">
            <w:pPr>
              <w:pStyle w:val="6"/>
              <w:spacing w:before="95" w:line="228" w:lineRule="auto"/>
              <w:ind w:left="551"/>
            </w:pPr>
            <w:r>
              <w:rPr>
                <w:spacing w:val="6"/>
              </w:rPr>
              <w:t>主要任务</w:t>
            </w:r>
          </w:p>
        </w:tc>
      </w:tr>
      <w:tr w14:paraId="5D5E9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863" w:type="dxa"/>
            <w:gridSpan w:val="2"/>
            <w:vMerge w:val="continue"/>
            <w:tcBorders>
              <w:top w:val="nil"/>
              <w:bottom w:val="nil"/>
            </w:tcBorders>
            <w:vAlign w:val="top"/>
          </w:tcPr>
          <w:p w14:paraId="29ED0F8C">
            <w:pPr>
              <w:rPr>
                <w:rFonts w:ascii="Arial"/>
                <w:sz w:val="21"/>
              </w:rPr>
            </w:pPr>
          </w:p>
        </w:tc>
        <w:tc>
          <w:tcPr>
            <w:tcW w:w="1662" w:type="dxa"/>
            <w:vAlign w:val="top"/>
          </w:tcPr>
          <w:p w14:paraId="16F22D48">
            <w:pPr>
              <w:spacing w:before="166" w:line="195" w:lineRule="auto"/>
              <w:ind w:left="412"/>
              <w:rPr>
                <w:rFonts w:hint="default" w:ascii="Times New Roman" w:hAnsi="Times New Roman" w:eastAsia="宋体" w:cs="Times New Roman"/>
                <w:sz w:val="20"/>
                <w:szCs w:val="20"/>
                <w:lang w:val="en-US" w:eastAsia="zh-CN"/>
              </w:rPr>
            </w:pPr>
            <w:r>
              <w:rPr>
                <w:rFonts w:ascii="Times New Roman" w:hAnsi="Times New Roman" w:eastAsia="Times New Roman" w:cs="Times New Roman"/>
                <w:spacing w:val="4"/>
                <w:sz w:val="20"/>
                <w:szCs w:val="20"/>
              </w:rPr>
              <w:t>202</w:t>
            </w:r>
            <w:r>
              <w:rPr>
                <w:rFonts w:hint="eastAsia" w:ascii="Times New Roman" w:hAnsi="Times New Roman" w:eastAsia="宋体" w:cs="Times New Roman"/>
                <w:spacing w:val="4"/>
                <w:sz w:val="20"/>
                <w:szCs w:val="20"/>
                <w:lang w:val="en-US" w:eastAsia="zh-CN"/>
              </w:rPr>
              <w:t>4</w:t>
            </w:r>
            <w:r>
              <w:rPr>
                <w:rFonts w:ascii="Times New Roman" w:hAnsi="Times New Roman" w:eastAsia="Times New Roman" w:cs="Times New Roman"/>
                <w:spacing w:val="4"/>
                <w:sz w:val="20"/>
                <w:szCs w:val="20"/>
              </w:rPr>
              <w:t>.</w:t>
            </w:r>
            <w:r>
              <w:rPr>
                <w:rFonts w:hint="eastAsia" w:ascii="Times New Roman" w:hAnsi="Times New Roman" w:eastAsia="宋体" w:cs="Times New Roman"/>
                <w:spacing w:val="4"/>
                <w:sz w:val="20"/>
                <w:szCs w:val="20"/>
                <w:lang w:val="en-US" w:eastAsia="zh-CN"/>
              </w:rPr>
              <w:t>7.6</w:t>
            </w:r>
          </w:p>
        </w:tc>
        <w:tc>
          <w:tcPr>
            <w:tcW w:w="3501" w:type="dxa"/>
            <w:vAlign w:val="top"/>
          </w:tcPr>
          <w:p w14:paraId="4B9D466E">
            <w:pPr>
              <w:pStyle w:val="6"/>
              <w:spacing w:before="130" w:line="227" w:lineRule="auto"/>
              <w:ind w:left="121"/>
            </w:pPr>
            <w:r>
              <w:rPr>
                <w:rFonts w:hint="eastAsia"/>
                <w:spacing w:val="4"/>
                <w:lang w:val="en-US" w:eastAsia="zh-CN"/>
              </w:rPr>
              <w:t>辛磊</w:t>
            </w:r>
            <w:r>
              <w:rPr>
                <w:spacing w:val="11"/>
              </w:rPr>
              <w:t xml:space="preserve">  </w:t>
            </w:r>
            <w:r>
              <w:rPr>
                <w:spacing w:val="4"/>
              </w:rPr>
              <w:t>王静</w:t>
            </w:r>
          </w:p>
        </w:tc>
        <w:tc>
          <w:tcPr>
            <w:tcW w:w="1928" w:type="dxa"/>
            <w:vAlign w:val="top"/>
          </w:tcPr>
          <w:p w14:paraId="7D020708">
            <w:pPr>
              <w:pStyle w:val="6"/>
              <w:spacing w:before="131" w:line="228" w:lineRule="auto"/>
              <w:ind w:left="757"/>
            </w:pPr>
            <w:r>
              <w:rPr>
                <w:spacing w:val="5"/>
              </w:rPr>
              <w:t>初访</w:t>
            </w:r>
          </w:p>
        </w:tc>
      </w:tr>
      <w:tr w14:paraId="4C1335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63" w:type="dxa"/>
            <w:gridSpan w:val="2"/>
            <w:vMerge w:val="continue"/>
            <w:tcBorders>
              <w:top w:val="nil"/>
              <w:bottom w:val="nil"/>
            </w:tcBorders>
            <w:vAlign w:val="top"/>
          </w:tcPr>
          <w:p w14:paraId="4740BB20">
            <w:pPr>
              <w:rPr>
                <w:rFonts w:ascii="Arial"/>
                <w:sz w:val="21"/>
              </w:rPr>
            </w:pPr>
          </w:p>
        </w:tc>
        <w:tc>
          <w:tcPr>
            <w:tcW w:w="1662" w:type="dxa"/>
            <w:vAlign w:val="top"/>
          </w:tcPr>
          <w:p w14:paraId="026CA10C">
            <w:pPr>
              <w:spacing w:before="167" w:line="195" w:lineRule="auto"/>
              <w:ind w:left="412"/>
              <w:rPr>
                <w:rFonts w:hint="default" w:ascii="Times New Roman" w:hAnsi="Times New Roman" w:eastAsia="宋体" w:cs="Times New Roman"/>
                <w:sz w:val="20"/>
                <w:szCs w:val="20"/>
                <w:lang w:val="en-US" w:eastAsia="zh-CN"/>
              </w:rPr>
            </w:pPr>
            <w:r>
              <w:rPr>
                <w:rFonts w:ascii="Times New Roman" w:hAnsi="Times New Roman" w:eastAsia="Times New Roman" w:cs="Times New Roman"/>
                <w:spacing w:val="4"/>
                <w:sz w:val="20"/>
                <w:szCs w:val="20"/>
              </w:rPr>
              <w:t>202</w:t>
            </w:r>
            <w:r>
              <w:rPr>
                <w:rFonts w:hint="eastAsia" w:ascii="Times New Roman" w:hAnsi="Times New Roman" w:eastAsia="宋体" w:cs="Times New Roman"/>
                <w:spacing w:val="4"/>
                <w:sz w:val="20"/>
                <w:szCs w:val="20"/>
                <w:lang w:val="en-US" w:eastAsia="zh-CN"/>
              </w:rPr>
              <w:t>4</w:t>
            </w:r>
            <w:r>
              <w:rPr>
                <w:rFonts w:ascii="Times New Roman" w:hAnsi="Times New Roman" w:eastAsia="Times New Roman" w:cs="Times New Roman"/>
                <w:spacing w:val="4"/>
                <w:sz w:val="20"/>
                <w:szCs w:val="20"/>
              </w:rPr>
              <w:t>.</w:t>
            </w:r>
            <w:r>
              <w:rPr>
                <w:rFonts w:hint="eastAsia" w:ascii="Times New Roman" w:hAnsi="Times New Roman" w:eastAsia="宋体" w:cs="Times New Roman"/>
                <w:spacing w:val="4"/>
                <w:sz w:val="20"/>
                <w:szCs w:val="20"/>
                <w:lang w:val="en-US" w:eastAsia="zh-CN"/>
              </w:rPr>
              <w:t>7.23</w:t>
            </w:r>
          </w:p>
        </w:tc>
        <w:tc>
          <w:tcPr>
            <w:tcW w:w="3501" w:type="dxa"/>
            <w:vAlign w:val="top"/>
          </w:tcPr>
          <w:p w14:paraId="17887980">
            <w:pPr>
              <w:pStyle w:val="6"/>
              <w:spacing w:before="131" w:line="227" w:lineRule="auto"/>
              <w:ind w:left="121"/>
              <w:rPr>
                <w:rFonts w:hint="eastAsia" w:eastAsia="宋体"/>
                <w:lang w:val="en-US" w:eastAsia="zh-CN"/>
              </w:rPr>
            </w:pPr>
            <w:r>
              <w:rPr>
                <w:spacing w:val="4"/>
              </w:rPr>
              <w:t>马琳琳</w:t>
            </w:r>
            <w:r>
              <w:rPr>
                <w:spacing w:val="11"/>
              </w:rPr>
              <w:t xml:space="preserve">  </w:t>
            </w:r>
            <w:r>
              <w:rPr>
                <w:rFonts w:hint="eastAsia"/>
                <w:spacing w:val="11"/>
                <w:lang w:val="en-US" w:eastAsia="zh-CN"/>
              </w:rPr>
              <w:t>辛磊</w:t>
            </w:r>
          </w:p>
        </w:tc>
        <w:tc>
          <w:tcPr>
            <w:tcW w:w="1928" w:type="dxa"/>
            <w:vAlign w:val="top"/>
          </w:tcPr>
          <w:p w14:paraId="4B38081B">
            <w:pPr>
              <w:pStyle w:val="6"/>
              <w:spacing w:before="131" w:line="228" w:lineRule="auto"/>
              <w:ind w:left="551"/>
            </w:pPr>
            <w:r>
              <w:rPr>
                <w:spacing w:val="6"/>
              </w:rPr>
              <w:t>现场考察</w:t>
            </w:r>
          </w:p>
        </w:tc>
      </w:tr>
      <w:tr w14:paraId="335FB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863" w:type="dxa"/>
            <w:gridSpan w:val="2"/>
            <w:vMerge w:val="continue"/>
            <w:tcBorders>
              <w:top w:val="nil"/>
              <w:bottom w:val="nil"/>
            </w:tcBorders>
            <w:vAlign w:val="top"/>
          </w:tcPr>
          <w:p w14:paraId="152518A9">
            <w:pPr>
              <w:rPr>
                <w:rFonts w:ascii="Arial"/>
                <w:sz w:val="21"/>
              </w:rPr>
            </w:pPr>
          </w:p>
        </w:tc>
        <w:tc>
          <w:tcPr>
            <w:tcW w:w="1662" w:type="dxa"/>
            <w:vAlign w:val="top"/>
          </w:tcPr>
          <w:p w14:paraId="47C492BB">
            <w:pPr>
              <w:spacing w:before="167" w:line="195" w:lineRule="auto"/>
              <w:ind w:left="412"/>
              <w:rPr>
                <w:rFonts w:hint="default" w:ascii="Times New Roman" w:hAnsi="Times New Roman" w:eastAsia="宋体" w:cs="Times New Roman"/>
                <w:sz w:val="20"/>
                <w:szCs w:val="20"/>
                <w:lang w:val="en-US" w:eastAsia="zh-CN"/>
              </w:rPr>
            </w:pPr>
            <w:r>
              <w:rPr>
                <w:rFonts w:ascii="Times New Roman" w:hAnsi="Times New Roman" w:eastAsia="Times New Roman" w:cs="Times New Roman"/>
                <w:spacing w:val="4"/>
                <w:sz w:val="20"/>
                <w:szCs w:val="20"/>
              </w:rPr>
              <w:t>202</w:t>
            </w:r>
            <w:r>
              <w:rPr>
                <w:rFonts w:hint="eastAsia" w:ascii="Times New Roman" w:hAnsi="Times New Roman" w:eastAsia="宋体" w:cs="Times New Roman"/>
                <w:spacing w:val="4"/>
                <w:sz w:val="20"/>
                <w:szCs w:val="20"/>
                <w:lang w:val="en-US" w:eastAsia="zh-CN"/>
              </w:rPr>
              <w:t>4</w:t>
            </w:r>
            <w:r>
              <w:rPr>
                <w:rFonts w:ascii="Times New Roman" w:hAnsi="Times New Roman" w:eastAsia="Times New Roman" w:cs="Times New Roman"/>
                <w:spacing w:val="4"/>
                <w:sz w:val="20"/>
                <w:szCs w:val="20"/>
              </w:rPr>
              <w:t>.</w:t>
            </w:r>
            <w:r>
              <w:rPr>
                <w:rFonts w:hint="eastAsia" w:ascii="Times New Roman" w:hAnsi="Times New Roman" w:eastAsia="宋体" w:cs="Times New Roman"/>
                <w:spacing w:val="4"/>
                <w:sz w:val="20"/>
                <w:szCs w:val="20"/>
                <w:lang w:val="en-US" w:eastAsia="zh-CN"/>
              </w:rPr>
              <w:t>7.24</w:t>
            </w:r>
          </w:p>
        </w:tc>
        <w:tc>
          <w:tcPr>
            <w:tcW w:w="3501" w:type="dxa"/>
            <w:vAlign w:val="top"/>
          </w:tcPr>
          <w:p w14:paraId="305B2291">
            <w:pPr>
              <w:pStyle w:val="6"/>
              <w:spacing w:before="131" w:line="227" w:lineRule="auto"/>
              <w:ind w:left="121"/>
              <w:rPr>
                <w:rFonts w:hint="eastAsia" w:eastAsia="宋体"/>
                <w:lang w:val="en-US" w:eastAsia="zh-CN"/>
              </w:rPr>
            </w:pPr>
            <w:r>
              <w:rPr>
                <w:spacing w:val="4"/>
              </w:rPr>
              <w:t>马琳琳</w:t>
            </w:r>
            <w:r>
              <w:rPr>
                <w:spacing w:val="11"/>
              </w:rPr>
              <w:t xml:space="preserve">  </w:t>
            </w:r>
            <w:r>
              <w:rPr>
                <w:rFonts w:hint="eastAsia"/>
                <w:spacing w:val="11"/>
                <w:lang w:val="en-US" w:eastAsia="zh-CN"/>
              </w:rPr>
              <w:t>辛磊</w:t>
            </w:r>
          </w:p>
        </w:tc>
        <w:tc>
          <w:tcPr>
            <w:tcW w:w="1928" w:type="dxa"/>
            <w:vAlign w:val="top"/>
          </w:tcPr>
          <w:p w14:paraId="5BA9CFF0">
            <w:pPr>
              <w:pStyle w:val="6"/>
              <w:spacing w:before="130" w:line="228" w:lineRule="auto"/>
              <w:ind w:left="551"/>
            </w:pPr>
            <w:r>
              <w:rPr>
                <w:spacing w:val="6"/>
              </w:rPr>
              <w:t>现场检查</w:t>
            </w:r>
          </w:p>
        </w:tc>
      </w:tr>
      <w:tr w14:paraId="35F65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863" w:type="dxa"/>
            <w:gridSpan w:val="2"/>
            <w:vMerge w:val="continue"/>
            <w:tcBorders>
              <w:top w:val="nil"/>
            </w:tcBorders>
            <w:vAlign w:val="top"/>
          </w:tcPr>
          <w:p w14:paraId="6A21231B">
            <w:pPr>
              <w:rPr>
                <w:rFonts w:ascii="Arial"/>
                <w:sz w:val="21"/>
              </w:rPr>
            </w:pPr>
          </w:p>
        </w:tc>
        <w:tc>
          <w:tcPr>
            <w:tcW w:w="1662" w:type="dxa"/>
            <w:vAlign w:val="top"/>
          </w:tcPr>
          <w:p w14:paraId="199E1799">
            <w:pPr>
              <w:rPr>
                <w:rFonts w:ascii="Arial"/>
                <w:sz w:val="21"/>
              </w:rPr>
            </w:pPr>
          </w:p>
        </w:tc>
        <w:tc>
          <w:tcPr>
            <w:tcW w:w="3501" w:type="dxa"/>
            <w:vAlign w:val="top"/>
          </w:tcPr>
          <w:p w14:paraId="58B293B0">
            <w:pPr>
              <w:rPr>
                <w:rFonts w:ascii="Arial"/>
                <w:sz w:val="21"/>
              </w:rPr>
            </w:pPr>
          </w:p>
        </w:tc>
        <w:tc>
          <w:tcPr>
            <w:tcW w:w="1928" w:type="dxa"/>
            <w:vAlign w:val="top"/>
          </w:tcPr>
          <w:p w14:paraId="257CB512">
            <w:pPr>
              <w:rPr>
                <w:rFonts w:ascii="Arial"/>
                <w:sz w:val="21"/>
              </w:rPr>
            </w:pPr>
          </w:p>
        </w:tc>
      </w:tr>
      <w:tr w14:paraId="3C680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4" w:hRule="atLeast"/>
        </w:trPr>
        <w:tc>
          <w:tcPr>
            <w:tcW w:w="8954" w:type="dxa"/>
            <w:gridSpan w:val="5"/>
            <w:vAlign w:val="top"/>
          </w:tcPr>
          <w:p w14:paraId="1353F34E">
            <w:pPr>
              <w:pStyle w:val="6"/>
              <w:spacing w:before="98" w:line="226" w:lineRule="auto"/>
              <w:ind w:left="120"/>
              <w:rPr>
                <w:rFonts w:hint="default" w:ascii="Times New Roman" w:hAnsi="Times New Roman" w:eastAsia="宋体" w:cs="Times New Roman"/>
                <w:lang w:val="en-US" w:eastAsia="zh-CN"/>
              </w:rPr>
            </w:pPr>
            <w:r>
              <w:rPr>
                <w:spacing w:val="6"/>
              </w:rPr>
              <w:t>安全评价报告提交时间：</w:t>
            </w:r>
            <w:r>
              <w:rPr>
                <w:rFonts w:ascii="Times New Roman" w:hAnsi="Times New Roman" w:eastAsia="Times New Roman" w:cs="Times New Roman"/>
                <w:spacing w:val="6"/>
              </w:rPr>
              <w:t>2024.</w:t>
            </w:r>
            <w:r>
              <w:rPr>
                <w:rFonts w:hint="eastAsia" w:ascii="Times New Roman" w:hAnsi="Times New Roman" w:cs="Times New Roman"/>
                <w:spacing w:val="6"/>
                <w:lang w:val="en-US" w:eastAsia="zh-CN"/>
              </w:rPr>
              <w:t>8.29</w:t>
            </w:r>
          </w:p>
        </w:tc>
      </w:tr>
      <w:tr w14:paraId="76B2A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8954" w:type="dxa"/>
            <w:gridSpan w:val="5"/>
            <w:vAlign w:val="top"/>
          </w:tcPr>
          <w:p w14:paraId="282F6E8D">
            <w:pPr>
              <w:pStyle w:val="6"/>
              <w:spacing w:before="111" w:line="228" w:lineRule="auto"/>
              <w:ind w:left="117"/>
            </w:pPr>
            <w:r>
              <w:rPr>
                <w:spacing w:val="8"/>
              </w:rPr>
              <w:t>有必要公开的其它内容：</w:t>
            </w:r>
          </w:p>
        </w:tc>
      </w:tr>
    </w:tbl>
    <w:p w14:paraId="256E9CA5">
      <w:pPr>
        <w:rPr>
          <w:rFonts w:ascii="Arial"/>
          <w:sz w:val="21"/>
        </w:rPr>
      </w:pPr>
    </w:p>
    <w:p w14:paraId="4E8D5CA3">
      <w:pPr>
        <w:rPr>
          <w:rFonts w:ascii="Arial" w:hAnsi="Arial" w:eastAsia="Arial" w:cs="Arial"/>
          <w:sz w:val="21"/>
          <w:szCs w:val="21"/>
        </w:rPr>
        <w:sectPr>
          <w:pgSz w:w="11906" w:h="16839"/>
          <w:pgMar w:top="1431" w:right="1245" w:bottom="0" w:left="1475" w:header="0" w:footer="0" w:gutter="0"/>
          <w:cols w:space="720" w:num="1"/>
        </w:sectPr>
      </w:pPr>
    </w:p>
    <w:p w14:paraId="01E77493">
      <w:pPr>
        <w:rPr>
          <w:rFonts w:hint="eastAsia" w:eastAsia="宋体"/>
          <w:lang w:eastAsia="zh-CN"/>
        </w:rPr>
      </w:pPr>
    </w:p>
    <w:p w14:paraId="0EC9EB79">
      <w:pPr>
        <w:rPr>
          <w:rFonts w:hint="eastAsia" w:eastAsia="宋体"/>
          <w:lang w:eastAsia="zh-CN"/>
        </w:rPr>
      </w:pPr>
      <w:bookmarkStart w:id="63" w:name="_GoBack"/>
      <w:r>
        <w:rPr>
          <w:rFonts w:hint="eastAsia" w:eastAsia="宋体"/>
          <w:lang w:eastAsia="zh-CN"/>
        </w:rPr>
        <w:drawing>
          <wp:inline distT="0" distB="0" distL="114300" distR="114300">
            <wp:extent cx="5264150" cy="8453755"/>
            <wp:effectExtent l="0" t="0" r="6350" b="4445"/>
            <wp:docPr id="1" name="图片 1" descr="cd1ae2ab02b91a91b65222ef2cd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1ae2ab02b91a91b65222ef2cd4670"/>
                    <pic:cNvPicPr>
                      <a:picLocks noChangeAspect="1"/>
                    </pic:cNvPicPr>
                  </pic:nvPicPr>
                  <pic:blipFill>
                    <a:blip r:embed="rId6"/>
                    <a:srcRect/>
                    <a:stretch>
                      <a:fillRect/>
                    </a:stretch>
                  </pic:blipFill>
                  <pic:spPr>
                    <a:xfrm>
                      <a:off x="0" y="0"/>
                      <a:ext cx="5264150" cy="8453755"/>
                    </a:xfrm>
                    <a:prstGeom prst="rect">
                      <a:avLst/>
                    </a:prstGeom>
                  </pic:spPr>
                </pic:pic>
              </a:graphicData>
            </a:graphic>
          </wp:inline>
        </w:drawing>
      </w:r>
      <w:bookmarkEnd w:id="63"/>
    </w:p>
    <w:p w14:paraId="1487CF22">
      <w:pPr>
        <w:pStyle w:val="2"/>
        <w:rPr>
          <w:rFonts w:hint="eastAsia" w:eastAsia="宋体"/>
          <w:lang w:eastAsia="zh-CN"/>
        </w:rPr>
      </w:pPr>
    </w:p>
    <w:p w14:paraId="2747B79C">
      <w:pPr>
        <w:pStyle w:val="2"/>
        <w:ind w:left="0" w:leftChars="0" w:firstLine="0" w:firstLineChars="0"/>
        <w:rPr>
          <w:rFonts w:hint="eastAsia" w:eastAsia="宋体"/>
          <w:lang w:eastAsia="zh-CN"/>
        </w:rPr>
      </w:pPr>
      <w:r>
        <w:rPr>
          <w:rFonts w:hint="eastAsia" w:eastAsia="宋体"/>
          <w:lang w:eastAsia="zh-CN"/>
        </w:rPr>
        <w:drawing>
          <wp:inline distT="0" distB="0" distL="114300" distR="114300">
            <wp:extent cx="5187950" cy="8820150"/>
            <wp:effectExtent l="0" t="0" r="6350" b="6350"/>
            <wp:docPr id="2" name="图片 2" descr="a58e0a723090eb4c4bfd974449eac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58e0a723090eb4c4bfd974449eac96"/>
                    <pic:cNvPicPr>
                      <a:picLocks noChangeAspect="1"/>
                    </pic:cNvPicPr>
                  </pic:nvPicPr>
                  <pic:blipFill>
                    <a:blip r:embed="rId7"/>
                    <a:srcRect/>
                    <a:stretch>
                      <a:fillRect/>
                    </a:stretch>
                  </pic:blipFill>
                  <pic:spPr>
                    <a:xfrm>
                      <a:off x="0" y="0"/>
                      <a:ext cx="5187950" cy="8820150"/>
                    </a:xfrm>
                    <a:prstGeom prst="rect">
                      <a:avLst/>
                    </a:prstGeom>
                  </pic:spPr>
                </pic:pic>
              </a:graphicData>
            </a:graphic>
          </wp:inline>
        </w:drawing>
      </w:r>
    </w:p>
    <w:p w14:paraId="3FC52BA8">
      <w:pPr>
        <w:pStyle w:val="2"/>
        <w:ind w:left="0" w:leftChars="0" w:firstLine="0" w:firstLineChars="0"/>
        <w:rPr>
          <w:rFonts w:hint="eastAsia" w:eastAsia="宋体"/>
          <w:lang w:eastAsia="zh-CN"/>
        </w:rPr>
      </w:pPr>
      <w:r>
        <w:rPr>
          <w:rFonts w:hint="eastAsia" w:eastAsia="宋体"/>
          <w:lang w:eastAsia="zh-CN"/>
        </w:rPr>
        <w:drawing>
          <wp:inline distT="0" distB="0" distL="114300" distR="114300">
            <wp:extent cx="5273675" cy="8853805"/>
            <wp:effectExtent l="0" t="0" r="9525" b="10795"/>
            <wp:docPr id="3" name="图片 3" descr="39afd070ae597571d12aba6f93319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9afd070ae597571d12aba6f93319a8"/>
                    <pic:cNvPicPr>
                      <a:picLocks noChangeAspect="1"/>
                    </pic:cNvPicPr>
                  </pic:nvPicPr>
                  <pic:blipFill>
                    <a:blip r:embed="rId8"/>
                    <a:srcRect/>
                    <a:stretch>
                      <a:fillRect/>
                    </a:stretch>
                  </pic:blipFill>
                  <pic:spPr>
                    <a:xfrm>
                      <a:off x="0" y="0"/>
                      <a:ext cx="5273675" cy="8853805"/>
                    </a:xfrm>
                    <a:prstGeom prst="rect">
                      <a:avLst/>
                    </a:prstGeom>
                  </pic:spPr>
                </pic:pic>
              </a:graphicData>
            </a:graphic>
          </wp:inline>
        </w:drawing>
      </w:r>
    </w:p>
    <w:p w14:paraId="47033B70">
      <w:pPr>
        <w:pStyle w:val="2"/>
        <w:ind w:left="0" w:leftChars="0" w:firstLine="0" w:firstLineChars="0"/>
        <w:rPr>
          <w:rFonts w:hint="eastAsia" w:eastAsia="宋体"/>
          <w:lang w:eastAsia="zh-CN"/>
        </w:rPr>
      </w:pPr>
    </w:p>
    <w:p w14:paraId="7D9928F9">
      <w:pPr>
        <w:pStyle w:val="2"/>
        <w:ind w:left="0" w:leftChars="0" w:firstLine="0" w:firstLineChars="0"/>
        <w:rPr>
          <w:rFonts w:hint="eastAsia" w:eastAsia="宋体"/>
          <w:lang w:eastAsia="zh-CN"/>
        </w:rPr>
      </w:pPr>
      <w:r>
        <w:rPr>
          <w:rFonts w:hint="eastAsia" w:eastAsia="宋体"/>
          <w:lang w:eastAsia="zh-CN"/>
        </w:rPr>
        <w:drawing>
          <wp:inline distT="0" distB="0" distL="114300" distR="114300">
            <wp:extent cx="5253990" cy="3940175"/>
            <wp:effectExtent l="0" t="0" r="3810" b="9525"/>
            <wp:docPr id="5" name="图片 5" descr="IMG_20240724_13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40724_132520"/>
                    <pic:cNvPicPr>
                      <a:picLocks noChangeAspect="1"/>
                    </pic:cNvPicPr>
                  </pic:nvPicPr>
                  <pic:blipFill>
                    <a:blip r:embed="rId9"/>
                    <a:stretch>
                      <a:fillRect/>
                    </a:stretch>
                  </pic:blipFill>
                  <pic:spPr>
                    <a:xfrm>
                      <a:off x="0" y="0"/>
                      <a:ext cx="5253990" cy="3940175"/>
                    </a:xfrm>
                    <a:prstGeom prst="rect">
                      <a:avLst/>
                    </a:prstGeom>
                  </pic:spPr>
                </pic:pic>
              </a:graphicData>
            </a:graphic>
          </wp:inline>
        </w:drawing>
      </w:r>
    </w:p>
    <w:p w14:paraId="518D9D41">
      <w:pPr>
        <w:pStyle w:val="2"/>
        <w:ind w:left="0" w:leftChars="0" w:firstLine="0" w:firstLineChars="0"/>
        <w:rPr>
          <w:rFonts w:hint="eastAsia" w:eastAsia="宋体"/>
          <w:lang w:eastAsia="zh-CN"/>
        </w:rPr>
      </w:pPr>
    </w:p>
    <w:p w14:paraId="4DEAE3E2">
      <w:pPr>
        <w:pStyle w:val="2"/>
        <w:ind w:left="0" w:leftChars="0" w:firstLine="0" w:firstLineChars="0"/>
        <w:rPr>
          <w:rFonts w:hint="eastAsia" w:eastAsia="宋体"/>
          <w:lang w:eastAsia="zh-CN"/>
        </w:rPr>
      </w:pPr>
      <w:r>
        <w:rPr>
          <w:rFonts w:hint="eastAsia" w:eastAsia="宋体"/>
          <w:lang w:eastAsia="zh-CN"/>
        </w:rPr>
        <w:drawing>
          <wp:inline distT="0" distB="0" distL="114300" distR="114300">
            <wp:extent cx="5266690" cy="3950335"/>
            <wp:effectExtent l="0" t="0" r="3810" b="12065"/>
            <wp:docPr id="4" name="图片 4" descr="现场检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现场检查"/>
                    <pic:cNvPicPr>
                      <a:picLocks noChangeAspect="1"/>
                    </pic:cNvPicPr>
                  </pic:nvPicPr>
                  <pic:blipFill>
                    <a:blip r:embed="rId10"/>
                    <a:stretch>
                      <a:fillRect/>
                    </a:stretch>
                  </pic:blipFill>
                  <pic:spPr>
                    <a:xfrm>
                      <a:off x="0" y="0"/>
                      <a:ext cx="5266690" cy="3950335"/>
                    </a:xfrm>
                    <a:prstGeom prst="rect">
                      <a:avLst/>
                    </a:prstGeom>
                  </pic:spPr>
                </pic:pic>
              </a:graphicData>
            </a:graphic>
          </wp:inline>
        </w:drawing>
      </w:r>
    </w:p>
    <w:p w14:paraId="31E4A7DA">
      <w:pPr>
        <w:pStyle w:val="2"/>
        <w:ind w:left="0" w:leftChars="0" w:firstLine="0" w:firstLineChars="0"/>
        <w:rPr>
          <w:rFonts w:hint="eastAsia" w:eastAsia="宋体"/>
          <w:lang w:eastAsia="zh-CN"/>
        </w:rPr>
      </w:pPr>
    </w:p>
    <w:p w14:paraId="3BBB2465">
      <w:pPr>
        <w:pStyle w:val="2"/>
        <w:ind w:left="0" w:leftChars="0" w:firstLine="0" w:firstLineChars="0"/>
        <w:rPr>
          <w:rFonts w:hint="eastAsia" w:eastAsia="宋体"/>
          <w:lang w:eastAsia="zh-CN"/>
        </w:rPr>
      </w:pPr>
    </w:p>
    <w:p w14:paraId="12937323">
      <w:pPr>
        <w:pStyle w:val="9"/>
        <w:widowControl w:val="0"/>
        <w:adjustRightInd w:val="0"/>
        <w:snapToGrid w:val="0"/>
        <w:spacing w:before="0" w:beforeLines="0" w:after="0" w:afterLines="0" w:line="360" w:lineRule="auto"/>
      </w:pPr>
      <w:bookmarkStart w:id="0" w:name="_Toc102633895"/>
      <w:bookmarkStart w:id="1" w:name="_Toc102633969"/>
      <w:bookmarkStart w:id="2" w:name="_Toc102634395"/>
      <w:bookmarkStart w:id="3" w:name="_Toc102634226"/>
      <w:bookmarkStart w:id="4" w:name="_Toc15033742"/>
      <w:r>
        <w:t>第二章 加油站概况</w:t>
      </w:r>
      <w:bookmarkEnd w:id="0"/>
      <w:bookmarkEnd w:id="1"/>
      <w:bookmarkEnd w:id="2"/>
      <w:bookmarkEnd w:id="3"/>
      <w:bookmarkEnd w:id="4"/>
    </w:p>
    <w:p w14:paraId="3DB4BB84">
      <w:pPr>
        <w:snapToGrid w:val="0"/>
        <w:spacing w:line="360" w:lineRule="auto"/>
        <w:jc w:val="center"/>
        <w:outlineLvl w:val="1"/>
        <w:rPr>
          <w:rFonts w:ascii="Calibri" w:hAnsi="Calibri" w:eastAsia="楷体_GB2312"/>
          <w:b/>
          <w:kern w:val="0"/>
          <w:sz w:val="32"/>
          <w:szCs w:val="20"/>
        </w:rPr>
      </w:pPr>
      <w:bookmarkStart w:id="5" w:name="_Toc26504"/>
      <w:bookmarkStart w:id="6" w:name="_Toc102633970"/>
      <w:bookmarkStart w:id="7" w:name="_Toc208733856"/>
      <w:bookmarkStart w:id="8" w:name="_Toc102634227"/>
      <w:bookmarkStart w:id="9" w:name="_Toc102633896"/>
      <w:bookmarkStart w:id="10" w:name="_Toc102634396"/>
      <w:bookmarkStart w:id="11" w:name="_Toc15033743"/>
      <w:bookmarkStart w:id="12" w:name="_Toc272364524"/>
      <w:bookmarkStart w:id="13" w:name="_Toc30066"/>
      <w:r>
        <w:rPr>
          <w:rFonts w:ascii="Calibri" w:hAnsi="Calibri" w:eastAsia="楷体_GB2312"/>
          <w:b/>
          <w:kern w:val="0"/>
          <w:sz w:val="32"/>
          <w:szCs w:val="20"/>
        </w:rPr>
        <w:t>第一节 加油站基本情况</w:t>
      </w:r>
      <w:bookmarkEnd w:id="5"/>
      <w:bookmarkEnd w:id="6"/>
      <w:bookmarkEnd w:id="7"/>
      <w:bookmarkEnd w:id="8"/>
      <w:bookmarkEnd w:id="9"/>
      <w:bookmarkEnd w:id="10"/>
      <w:bookmarkEnd w:id="11"/>
      <w:bookmarkEnd w:id="12"/>
      <w:bookmarkEnd w:id="13"/>
    </w:p>
    <w:p w14:paraId="598A7A76">
      <w:pPr>
        <w:adjustRightInd w:val="0"/>
        <w:snapToGrid w:val="0"/>
        <w:spacing w:line="360" w:lineRule="auto"/>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宋体" w:hAnsi="宋体"/>
          <w:sz w:val="28"/>
          <w:lang w:val="en-US" w:eastAsia="zh-CN"/>
        </w:rPr>
        <w:t>新泰市谷里镇后北村</w:t>
      </w:r>
      <w:r>
        <w:rPr>
          <w:rFonts w:hint="eastAsia" w:ascii="宋体" w:hAnsi="宋体"/>
          <w:sz w:val="28"/>
        </w:rPr>
        <w:t>加油站位于</w:t>
      </w:r>
      <w:r>
        <w:rPr>
          <w:rFonts w:hint="eastAsia" w:ascii="宋体" w:hAnsi="宋体"/>
          <w:sz w:val="28"/>
          <w:lang w:val="en-US" w:eastAsia="zh-CN"/>
        </w:rPr>
        <w:t>谷里镇后北佐村</w:t>
      </w:r>
      <w:r>
        <w:rPr>
          <w:rFonts w:hint="eastAsia" w:ascii="宋体" w:hAnsi="宋体"/>
          <w:sz w:val="28"/>
        </w:rPr>
        <w:t>。该站北侧</w:t>
      </w:r>
      <w:r>
        <w:rPr>
          <w:rFonts w:hint="eastAsia" w:ascii="宋体" w:hAnsi="宋体"/>
          <w:sz w:val="28"/>
          <w:lang w:val="en-US" w:eastAsia="zh-CN"/>
        </w:rPr>
        <w:t>空地、仓库（戊类）</w:t>
      </w:r>
      <w:r>
        <w:rPr>
          <w:rFonts w:hint="eastAsia" w:ascii="宋体" w:hAnsi="宋体"/>
          <w:sz w:val="28"/>
        </w:rPr>
        <w:t>，</w:t>
      </w:r>
      <w:r>
        <w:rPr>
          <w:rFonts w:hint="eastAsia" w:ascii="宋体" w:hAnsi="宋体"/>
          <w:sz w:val="28"/>
          <w:lang w:val="en-US" w:eastAsia="zh-CN"/>
        </w:rPr>
        <w:t>南侧是蒙馆路，</w:t>
      </w:r>
      <w:r>
        <w:rPr>
          <w:rFonts w:hint="eastAsia" w:ascii="宋体" w:hAnsi="宋体"/>
          <w:sz w:val="28"/>
        </w:rPr>
        <w:t>西侧是</w:t>
      </w:r>
      <w:r>
        <w:rPr>
          <w:rFonts w:hint="eastAsia" w:ascii="宋体" w:hAnsi="宋体"/>
          <w:sz w:val="28"/>
          <w:lang w:val="en-US" w:eastAsia="zh-CN"/>
        </w:rPr>
        <w:t>沿街民房、汽车维修车间</w:t>
      </w:r>
      <w:r>
        <w:rPr>
          <w:rFonts w:hint="eastAsia" w:ascii="宋体" w:hAnsi="宋体"/>
          <w:sz w:val="28"/>
        </w:rPr>
        <w:t>，东侧是</w:t>
      </w:r>
      <w:r>
        <w:rPr>
          <w:rFonts w:hint="eastAsia" w:ascii="宋体" w:hAnsi="宋体"/>
          <w:sz w:val="28"/>
          <w:lang w:val="en-US" w:eastAsia="zh-CN"/>
        </w:rPr>
        <w:t>门头房、空地</w:t>
      </w:r>
      <w:r>
        <w:rPr>
          <w:rFonts w:hint="eastAsia" w:ascii="宋体" w:hAnsi="宋体"/>
          <w:sz w:val="28"/>
        </w:rPr>
        <w:t>。该站经营许可范围为汽油、乙醇汽油、柴油，现其主要经营汽油、柴油，暂未经营乙醇汽油</w:t>
      </w:r>
      <w:r>
        <w:rPr>
          <w:rFonts w:hint="eastAsia" w:ascii="宋体" w:hAnsi="宋体"/>
          <w:snapToGrid w:val="0"/>
          <w:kern w:val="0"/>
          <w:sz w:val="28"/>
        </w:rPr>
        <w:t>。</w:t>
      </w:r>
      <w:r>
        <w:rPr>
          <w:rFonts w:hint="eastAsia" w:ascii="宋体" w:hAnsi="宋体"/>
          <w:color w:val="000000" w:themeColor="text1"/>
          <w:sz w:val="28"/>
          <w14:textFill>
            <w14:solidFill>
              <w14:schemeClr w14:val="tx1"/>
            </w14:solidFill>
          </w14:textFill>
        </w:rPr>
        <w:t>此次现状评价报告与三年前报告相比，</w:t>
      </w:r>
      <w:r>
        <w:rPr>
          <w:rFonts w:hint="eastAsia" w:ascii="宋体" w:hAnsi="宋体"/>
          <w:sz w:val="28"/>
        </w:rPr>
        <w:t>总平面布置</w:t>
      </w:r>
      <w:r>
        <w:rPr>
          <w:rFonts w:hint="eastAsia" w:ascii="宋体" w:hAnsi="宋体"/>
          <w:sz w:val="28"/>
          <w:lang w:val="en-US" w:eastAsia="zh-CN"/>
        </w:rPr>
        <w:t>和</w:t>
      </w:r>
      <w:r>
        <w:rPr>
          <w:rFonts w:hint="eastAsia" w:ascii="宋体" w:hAnsi="宋体"/>
          <w:color w:val="000000" w:themeColor="text1"/>
          <w:sz w:val="28"/>
          <w14:textFill>
            <w14:solidFill>
              <w14:schemeClr w14:val="tx1"/>
            </w14:solidFill>
          </w14:textFill>
        </w:rPr>
        <w:t>周边环境未发生</w:t>
      </w:r>
      <w:r>
        <w:rPr>
          <w:rFonts w:hint="eastAsia" w:asciiTheme="minorEastAsia" w:hAnsiTheme="minorEastAsia" w:eastAsiaTheme="minorEastAsia" w:cstheme="minorEastAsia"/>
          <w:color w:val="000000" w:themeColor="text1"/>
          <w:sz w:val="28"/>
          <w:szCs w:val="28"/>
          <w14:textFill>
            <w14:solidFill>
              <w14:schemeClr w14:val="tx1"/>
            </w14:solidFill>
          </w14:textFill>
        </w:rPr>
        <w:t>变化</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人员未发生变化。</w:t>
      </w:r>
    </w:p>
    <w:p w14:paraId="7DD024C5">
      <w:pPr>
        <w:pStyle w:val="8"/>
        <w:widowControl w:val="0"/>
        <w:adjustRightInd w:val="0"/>
        <w:snapToGrid w:val="0"/>
        <w:spacing w:line="360" w:lineRule="auto"/>
        <w:ind w:firstLine="56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该加油站主要建有站房、油罐区、加油区。加油区在站房南侧，</w:t>
      </w:r>
      <w:r>
        <w:rPr>
          <w:rFonts w:hint="eastAsia" w:asciiTheme="minorEastAsia" w:hAnsiTheme="minorEastAsia" w:eastAsiaTheme="minorEastAsia" w:cstheme="minorEastAsia"/>
          <w:kern w:val="2"/>
          <w:sz w:val="28"/>
          <w:szCs w:val="28"/>
        </w:rPr>
        <w:t>现有</w:t>
      </w:r>
      <w:r>
        <w:rPr>
          <w:rFonts w:hint="eastAsia" w:asciiTheme="minorEastAsia" w:hAnsiTheme="minorEastAsia" w:eastAsiaTheme="minorEastAsia" w:cstheme="minorEastAsia"/>
          <w:kern w:val="2"/>
          <w:sz w:val="28"/>
          <w:szCs w:val="28"/>
          <w:lang w:val="en-US" w:eastAsia="zh-CN"/>
        </w:rPr>
        <w:t>6</w:t>
      </w:r>
      <w:r>
        <w:rPr>
          <w:rFonts w:hint="eastAsia" w:asciiTheme="minorEastAsia" w:hAnsiTheme="minorEastAsia" w:eastAsiaTheme="minorEastAsia" w:cstheme="minorEastAsia"/>
          <w:kern w:val="2"/>
          <w:sz w:val="28"/>
          <w:szCs w:val="28"/>
        </w:rPr>
        <w:t>台双枪加油机，均为</w:t>
      </w:r>
      <w:r>
        <w:rPr>
          <w:rFonts w:hint="eastAsia" w:asciiTheme="minorEastAsia" w:hAnsiTheme="minorEastAsia" w:eastAsiaTheme="minorEastAsia" w:cstheme="minorEastAsia"/>
          <w:kern w:val="2"/>
          <w:sz w:val="28"/>
          <w:szCs w:val="28"/>
          <w:lang w:val="en-US" w:eastAsia="zh-CN"/>
        </w:rPr>
        <w:t>自吸</w:t>
      </w:r>
      <w:r>
        <w:rPr>
          <w:rFonts w:hint="eastAsia" w:asciiTheme="minorEastAsia" w:hAnsiTheme="minorEastAsia" w:eastAsiaTheme="minorEastAsia" w:cstheme="minorEastAsia"/>
          <w:kern w:val="2"/>
          <w:sz w:val="28"/>
          <w:szCs w:val="28"/>
        </w:rPr>
        <w:t>式</w:t>
      </w:r>
      <w:r>
        <w:rPr>
          <w:rFonts w:hint="eastAsia" w:asciiTheme="minorEastAsia" w:hAnsiTheme="minorEastAsia" w:eastAsiaTheme="minorEastAsia" w:cstheme="minorEastAsia"/>
          <w:sz w:val="28"/>
          <w:szCs w:val="28"/>
        </w:rPr>
        <w:t>；油罐区在站房</w:t>
      </w:r>
      <w:r>
        <w:rPr>
          <w:rFonts w:hint="eastAsia" w:asciiTheme="minorEastAsia" w:hAnsiTheme="minorEastAsia" w:eastAsiaTheme="minorEastAsia" w:cstheme="minorEastAsia"/>
          <w:sz w:val="28"/>
          <w:szCs w:val="28"/>
          <w:lang w:val="en-US" w:eastAsia="zh-CN"/>
        </w:rPr>
        <w:t>东北</w:t>
      </w:r>
      <w:r>
        <w:rPr>
          <w:rFonts w:hint="eastAsia" w:asciiTheme="minorEastAsia" w:hAnsiTheme="minorEastAsia" w:eastAsiaTheme="minorEastAsia" w:cstheme="minorEastAsia"/>
          <w:sz w:val="28"/>
          <w:szCs w:val="28"/>
        </w:rPr>
        <w:t>侧，现有</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台埋地双层储罐（1台</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0m</w:t>
      </w:r>
      <w:r>
        <w:rPr>
          <w:rFonts w:hint="eastAsia" w:asciiTheme="minorEastAsia" w:hAnsiTheme="minorEastAsia" w:eastAsiaTheme="minorEastAsia" w:cstheme="minorEastAsia"/>
          <w:sz w:val="28"/>
          <w:szCs w:val="28"/>
          <w:vertAlign w:val="superscript"/>
        </w:rPr>
        <w:t>3</w:t>
      </w:r>
      <w:r>
        <w:rPr>
          <w:rFonts w:hint="eastAsia" w:asciiTheme="minorEastAsia" w:hAnsiTheme="minorEastAsia" w:eastAsiaTheme="minorEastAsia" w:cstheme="minorEastAsia"/>
          <w:sz w:val="28"/>
          <w:szCs w:val="28"/>
        </w:rPr>
        <w:t>92#汽油罐、1台</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0m</w:t>
      </w:r>
      <w:r>
        <w:rPr>
          <w:rFonts w:hint="eastAsia" w:asciiTheme="minorEastAsia" w:hAnsiTheme="minorEastAsia" w:eastAsiaTheme="minorEastAsia" w:cstheme="minorEastAsia"/>
          <w:sz w:val="28"/>
          <w:szCs w:val="28"/>
          <w:vertAlign w:val="superscript"/>
        </w:rPr>
        <w:t>3</w:t>
      </w:r>
      <w:r>
        <w:rPr>
          <w:rFonts w:hint="eastAsia"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#汽油罐</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台30m</w:t>
      </w:r>
      <w:r>
        <w:rPr>
          <w:rFonts w:hint="eastAsia" w:asciiTheme="minorEastAsia" w:hAnsiTheme="minorEastAsia" w:eastAsiaTheme="minorEastAsia" w:cstheme="minorEastAsia"/>
          <w:sz w:val="28"/>
          <w:szCs w:val="28"/>
          <w:vertAlign w:val="superscript"/>
        </w:rPr>
        <w:t>3</w:t>
      </w:r>
      <w:r>
        <w:rPr>
          <w:rFonts w:hint="eastAsia" w:asciiTheme="minorEastAsia" w:hAnsiTheme="minorEastAsia" w:eastAsiaTheme="minorEastAsia" w:cstheme="minorEastAsia"/>
          <w:sz w:val="28"/>
          <w:szCs w:val="28"/>
        </w:rPr>
        <w:t>柴油罐），</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台油罐均安装了液位仪，其油罐埋地设置，通气管</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根（油气回收装置1根）；该站汽油设有加油、卸油油气回收系统及油气处理装置（三次油气回收系统）；按《汽车加油加气加氢站技术标准》GB50156-2021标准规定：V=</w:t>
      </w:r>
      <w:r>
        <w:rPr>
          <w:rFonts w:hint="eastAsia" w:asciiTheme="minorEastAsia" w:hAnsiTheme="minorEastAsia" w:eastAsiaTheme="minorEastAsia" w:cstheme="minorEastAsia"/>
          <w:sz w:val="28"/>
          <w:szCs w:val="28"/>
          <w:lang w:val="en-US" w:eastAsia="zh-CN"/>
        </w:rPr>
        <w:t>90</w:t>
      </w:r>
      <w:r>
        <w:rPr>
          <w:rFonts w:hint="eastAsia" w:asciiTheme="minorEastAsia" w:hAnsiTheme="minorEastAsia" w:eastAsiaTheme="minorEastAsia" w:cstheme="minorEastAsia"/>
          <w:sz w:val="28"/>
          <w:szCs w:val="28"/>
        </w:rPr>
        <w:t>m</w:t>
      </w:r>
      <w:r>
        <w:rPr>
          <w:rFonts w:hint="eastAsia" w:asciiTheme="minorEastAsia" w:hAnsiTheme="minorEastAsia" w:eastAsiaTheme="minorEastAsia" w:cstheme="minorEastAsia"/>
          <w:sz w:val="28"/>
          <w:szCs w:val="28"/>
          <w:vertAlign w:val="superscript"/>
        </w:rPr>
        <w:t>3</w:t>
      </w:r>
      <w:r>
        <w:rPr>
          <w:rFonts w:hint="eastAsia" w:asciiTheme="minorEastAsia" w:hAnsiTheme="minorEastAsia" w:eastAsiaTheme="minorEastAsia" w:cstheme="minorEastAsia"/>
          <w:sz w:val="28"/>
          <w:szCs w:val="28"/>
        </w:rPr>
        <w:t>，该站属三级加油站。</w:t>
      </w:r>
    </w:p>
    <w:p w14:paraId="1103D7D9">
      <w:pPr>
        <w:pStyle w:val="10"/>
        <w:widowControl w:val="0"/>
        <w:adjustRightInd w:val="0"/>
        <w:snapToGrid w:val="0"/>
        <w:spacing w:line="360" w:lineRule="auto"/>
        <w:outlineLvl w:val="9"/>
      </w:pPr>
      <w:r>
        <w:t>表</w:t>
      </w:r>
      <w:r>
        <w:rPr>
          <w:rFonts w:ascii="黑体" w:hAnsi="黑体"/>
        </w:rPr>
        <w:t xml:space="preserve">2.1-1 </w:t>
      </w:r>
      <w:r>
        <w:t>加油站的等级划分</w:t>
      </w:r>
    </w:p>
    <w:tbl>
      <w:tblPr>
        <w:tblStyle w:val="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00"/>
        <w:gridCol w:w="3210"/>
        <w:gridCol w:w="3217"/>
      </w:tblGrid>
      <w:tr w14:paraId="32E93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restart"/>
            <w:vAlign w:val="center"/>
          </w:tcPr>
          <w:p w14:paraId="5B7C4B24">
            <w:pPr>
              <w:pStyle w:val="11"/>
              <w:widowControl w:val="0"/>
              <w:spacing w:line="360" w:lineRule="auto"/>
              <w:rPr>
                <w:rFonts w:ascii="宋体" w:hAnsi="宋体"/>
                <w:b/>
                <w:bCs/>
              </w:rPr>
            </w:pPr>
            <w:r>
              <w:rPr>
                <w:rFonts w:ascii="宋体" w:hAnsi="宋体"/>
                <w:b/>
                <w:bCs/>
              </w:rPr>
              <w:t>加油站</w:t>
            </w:r>
            <w:r>
              <w:rPr>
                <w:rFonts w:hint="eastAsia" w:ascii="宋体" w:hAnsi="宋体"/>
                <w:b/>
                <w:bCs/>
              </w:rPr>
              <w:t>等级</w:t>
            </w:r>
          </w:p>
        </w:tc>
        <w:tc>
          <w:tcPr>
            <w:tcW w:w="3338" w:type="pct"/>
            <w:gridSpan w:val="2"/>
            <w:vAlign w:val="center"/>
          </w:tcPr>
          <w:p w14:paraId="4A5B7D78">
            <w:pPr>
              <w:pStyle w:val="11"/>
              <w:widowControl w:val="0"/>
              <w:spacing w:line="360" w:lineRule="auto"/>
              <w:rPr>
                <w:rFonts w:ascii="宋体" w:hAnsi="宋体"/>
                <w:b/>
                <w:bCs/>
              </w:rPr>
            </w:pPr>
            <w:r>
              <w:rPr>
                <w:rFonts w:ascii="宋体" w:hAnsi="宋体"/>
                <w:b/>
                <w:bCs/>
              </w:rPr>
              <w:t>加油站油罐容积（m</w:t>
            </w:r>
            <w:r>
              <w:rPr>
                <w:rFonts w:ascii="宋体" w:hAnsi="宋体"/>
                <w:b/>
                <w:bCs/>
                <w:vertAlign w:val="superscript"/>
              </w:rPr>
              <w:t>3</w:t>
            </w:r>
            <w:r>
              <w:rPr>
                <w:rFonts w:ascii="宋体" w:hAnsi="宋体"/>
                <w:b/>
                <w:bCs/>
              </w:rPr>
              <w:t>）</w:t>
            </w:r>
          </w:p>
        </w:tc>
      </w:tr>
      <w:tr w14:paraId="72DC8A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Merge w:val="continue"/>
            <w:vAlign w:val="center"/>
          </w:tcPr>
          <w:p w14:paraId="374F6E0B">
            <w:pPr>
              <w:pStyle w:val="11"/>
              <w:widowControl w:val="0"/>
              <w:spacing w:line="360" w:lineRule="auto"/>
              <w:rPr>
                <w:rFonts w:ascii="宋体" w:hAnsi="宋体"/>
                <w:b/>
                <w:bCs/>
              </w:rPr>
            </w:pPr>
          </w:p>
        </w:tc>
        <w:tc>
          <w:tcPr>
            <w:tcW w:w="1667" w:type="pct"/>
            <w:vAlign w:val="center"/>
          </w:tcPr>
          <w:p w14:paraId="7D3D67F8">
            <w:pPr>
              <w:pStyle w:val="11"/>
              <w:widowControl w:val="0"/>
              <w:spacing w:line="360" w:lineRule="auto"/>
              <w:rPr>
                <w:rFonts w:ascii="宋体" w:hAnsi="宋体"/>
                <w:b/>
                <w:bCs/>
              </w:rPr>
            </w:pPr>
            <w:r>
              <w:rPr>
                <w:rFonts w:ascii="宋体" w:hAnsi="宋体"/>
                <w:b/>
                <w:bCs/>
              </w:rPr>
              <w:t>总容积</w:t>
            </w:r>
            <w:r>
              <w:rPr>
                <w:rFonts w:hint="eastAsia" w:ascii="宋体" w:hAnsi="宋体"/>
                <w:b/>
                <w:bCs/>
              </w:rPr>
              <w:t>V</w:t>
            </w:r>
          </w:p>
        </w:tc>
        <w:tc>
          <w:tcPr>
            <w:tcW w:w="1671" w:type="pct"/>
            <w:vAlign w:val="center"/>
          </w:tcPr>
          <w:p w14:paraId="37CA9C57">
            <w:pPr>
              <w:pStyle w:val="11"/>
              <w:widowControl w:val="0"/>
              <w:spacing w:line="360" w:lineRule="auto"/>
              <w:rPr>
                <w:rFonts w:ascii="宋体" w:hAnsi="宋体"/>
                <w:b/>
                <w:bCs/>
              </w:rPr>
            </w:pPr>
            <w:r>
              <w:rPr>
                <w:rFonts w:ascii="宋体" w:hAnsi="宋体"/>
                <w:b/>
                <w:bCs/>
              </w:rPr>
              <w:t>单罐容积</w:t>
            </w:r>
          </w:p>
        </w:tc>
      </w:tr>
      <w:tr w14:paraId="2B6165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11AEA324">
            <w:pPr>
              <w:pStyle w:val="11"/>
              <w:widowControl w:val="0"/>
              <w:spacing w:line="360" w:lineRule="auto"/>
              <w:rPr>
                <w:rFonts w:ascii="宋体" w:hAnsi="宋体"/>
              </w:rPr>
            </w:pPr>
            <w:r>
              <w:rPr>
                <w:rFonts w:ascii="宋体" w:hAnsi="宋体"/>
              </w:rPr>
              <w:t>一级</w:t>
            </w:r>
          </w:p>
        </w:tc>
        <w:tc>
          <w:tcPr>
            <w:tcW w:w="1667" w:type="pct"/>
            <w:vAlign w:val="center"/>
          </w:tcPr>
          <w:p w14:paraId="73B56308">
            <w:pPr>
              <w:pStyle w:val="11"/>
              <w:widowControl w:val="0"/>
              <w:spacing w:line="360" w:lineRule="auto"/>
              <w:rPr>
                <w:rFonts w:ascii="宋体" w:hAnsi="宋体"/>
              </w:rPr>
            </w:pPr>
            <w:r>
              <w:rPr>
                <w:rFonts w:ascii="宋体" w:hAnsi="宋体"/>
              </w:rPr>
              <w:t>150＜V</w:t>
            </w:r>
            <w:r>
              <w:rPr>
                <w:rFonts w:hint="eastAsia" w:ascii="宋体" w:hAnsi="宋体"/>
              </w:rPr>
              <w:t>≤</w:t>
            </w:r>
            <w:r>
              <w:rPr>
                <w:rFonts w:ascii="宋体" w:hAnsi="宋体"/>
              </w:rPr>
              <w:t>210</w:t>
            </w:r>
          </w:p>
        </w:tc>
        <w:tc>
          <w:tcPr>
            <w:tcW w:w="1671" w:type="pct"/>
            <w:vAlign w:val="center"/>
          </w:tcPr>
          <w:p w14:paraId="10A52AA3">
            <w:pPr>
              <w:pStyle w:val="11"/>
              <w:widowControl w:val="0"/>
              <w:spacing w:line="360" w:lineRule="auto"/>
              <w:rPr>
                <w:rFonts w:ascii="宋体" w:hAnsi="宋体"/>
              </w:rPr>
            </w:pPr>
            <w:r>
              <w:rPr>
                <w:rFonts w:hint="eastAsia" w:ascii="宋体" w:hAnsi="宋体"/>
              </w:rPr>
              <w:t>≤</w:t>
            </w:r>
            <w:r>
              <w:rPr>
                <w:rFonts w:ascii="宋体" w:hAnsi="宋体"/>
              </w:rPr>
              <w:t>50</w:t>
            </w:r>
          </w:p>
        </w:tc>
      </w:tr>
      <w:tr w14:paraId="544604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526FEDD5">
            <w:pPr>
              <w:pStyle w:val="11"/>
              <w:widowControl w:val="0"/>
              <w:spacing w:line="360" w:lineRule="auto"/>
              <w:rPr>
                <w:rFonts w:ascii="宋体" w:hAnsi="宋体"/>
              </w:rPr>
            </w:pPr>
            <w:r>
              <w:rPr>
                <w:rFonts w:ascii="宋体" w:hAnsi="宋体"/>
              </w:rPr>
              <w:t>二级</w:t>
            </w:r>
          </w:p>
        </w:tc>
        <w:tc>
          <w:tcPr>
            <w:tcW w:w="1667" w:type="pct"/>
            <w:vAlign w:val="center"/>
          </w:tcPr>
          <w:p w14:paraId="2B03F359">
            <w:pPr>
              <w:pStyle w:val="11"/>
              <w:widowControl w:val="0"/>
              <w:spacing w:line="360" w:lineRule="auto"/>
              <w:rPr>
                <w:rFonts w:ascii="宋体" w:hAnsi="宋体"/>
              </w:rPr>
            </w:pPr>
            <w:r>
              <w:rPr>
                <w:rFonts w:ascii="宋体" w:hAnsi="宋体"/>
              </w:rPr>
              <w:t>90</w:t>
            </w:r>
            <w:r>
              <w:rPr>
                <w:rFonts w:hint="eastAsia" w:ascii="宋体" w:hAnsi="宋体"/>
              </w:rPr>
              <w:t>＜</w:t>
            </w:r>
            <w:r>
              <w:rPr>
                <w:rFonts w:ascii="宋体" w:hAnsi="宋体"/>
              </w:rPr>
              <w:t>V</w:t>
            </w:r>
            <w:r>
              <w:rPr>
                <w:rFonts w:hint="eastAsia" w:ascii="宋体" w:hAnsi="宋体"/>
              </w:rPr>
              <w:t>≤</w:t>
            </w:r>
            <w:r>
              <w:rPr>
                <w:rFonts w:ascii="宋体" w:hAnsi="宋体"/>
              </w:rPr>
              <w:t>150</w:t>
            </w:r>
          </w:p>
        </w:tc>
        <w:tc>
          <w:tcPr>
            <w:tcW w:w="1671" w:type="pct"/>
            <w:vAlign w:val="center"/>
          </w:tcPr>
          <w:p w14:paraId="519B778C">
            <w:pPr>
              <w:pStyle w:val="11"/>
              <w:widowControl w:val="0"/>
              <w:spacing w:line="360" w:lineRule="auto"/>
              <w:rPr>
                <w:rFonts w:ascii="宋体" w:hAnsi="宋体"/>
              </w:rPr>
            </w:pPr>
            <w:r>
              <w:rPr>
                <w:rFonts w:hint="eastAsia" w:ascii="宋体" w:hAnsi="宋体"/>
              </w:rPr>
              <w:t>≤</w:t>
            </w:r>
            <w:r>
              <w:rPr>
                <w:rFonts w:ascii="宋体" w:hAnsi="宋体"/>
              </w:rPr>
              <w:t>50</w:t>
            </w:r>
          </w:p>
        </w:tc>
      </w:tr>
      <w:tr w14:paraId="2BB4E7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2" w:type="pct"/>
            <w:vAlign w:val="center"/>
          </w:tcPr>
          <w:p w14:paraId="1D14ABE0">
            <w:pPr>
              <w:pStyle w:val="11"/>
              <w:widowControl w:val="0"/>
              <w:spacing w:line="360" w:lineRule="auto"/>
              <w:rPr>
                <w:rFonts w:ascii="宋体" w:hAnsi="宋体"/>
              </w:rPr>
            </w:pPr>
            <w:r>
              <w:rPr>
                <w:rFonts w:ascii="宋体" w:hAnsi="宋体"/>
              </w:rPr>
              <w:t>三级</w:t>
            </w:r>
          </w:p>
        </w:tc>
        <w:tc>
          <w:tcPr>
            <w:tcW w:w="1667" w:type="pct"/>
            <w:vAlign w:val="center"/>
          </w:tcPr>
          <w:p w14:paraId="3D128079">
            <w:pPr>
              <w:pStyle w:val="11"/>
              <w:widowControl w:val="0"/>
              <w:spacing w:line="360" w:lineRule="auto"/>
              <w:rPr>
                <w:rFonts w:ascii="宋体" w:hAnsi="宋体"/>
              </w:rPr>
            </w:pPr>
            <w:r>
              <w:rPr>
                <w:rFonts w:ascii="宋体" w:hAnsi="宋体"/>
              </w:rPr>
              <w:t>V</w:t>
            </w:r>
            <w:r>
              <w:rPr>
                <w:rFonts w:hint="eastAsia" w:ascii="宋体" w:hAnsi="宋体"/>
              </w:rPr>
              <w:t>≤</w:t>
            </w:r>
            <w:r>
              <w:rPr>
                <w:rFonts w:ascii="宋体" w:hAnsi="宋体"/>
              </w:rPr>
              <w:t>90</w:t>
            </w:r>
          </w:p>
        </w:tc>
        <w:tc>
          <w:tcPr>
            <w:tcW w:w="1671" w:type="pct"/>
            <w:vAlign w:val="center"/>
          </w:tcPr>
          <w:p w14:paraId="09D78278">
            <w:pPr>
              <w:pStyle w:val="11"/>
              <w:widowControl w:val="0"/>
              <w:spacing w:line="360" w:lineRule="auto"/>
              <w:rPr>
                <w:rFonts w:ascii="宋体" w:hAnsi="宋体"/>
              </w:rPr>
            </w:pPr>
            <w:r>
              <w:rPr>
                <w:rFonts w:ascii="宋体" w:hAnsi="宋体"/>
              </w:rPr>
              <w:t>汽油罐</w:t>
            </w:r>
            <w:r>
              <w:rPr>
                <w:rFonts w:hint="eastAsia" w:ascii="宋体" w:hAnsi="宋体"/>
              </w:rPr>
              <w:t>≤</w:t>
            </w:r>
            <w:r>
              <w:rPr>
                <w:rFonts w:ascii="宋体" w:hAnsi="宋体"/>
              </w:rPr>
              <w:t>30，柴油罐</w:t>
            </w:r>
            <w:r>
              <w:rPr>
                <w:rFonts w:hint="eastAsia" w:ascii="宋体" w:hAnsi="宋体"/>
              </w:rPr>
              <w:t>≤</w:t>
            </w:r>
            <w:r>
              <w:rPr>
                <w:rFonts w:ascii="宋体" w:hAnsi="宋体"/>
              </w:rPr>
              <w:t>50</w:t>
            </w:r>
          </w:p>
        </w:tc>
      </w:tr>
    </w:tbl>
    <w:p w14:paraId="56192C50">
      <w:pPr>
        <w:pStyle w:val="12"/>
        <w:widowControl w:val="0"/>
        <w:spacing w:line="360" w:lineRule="auto"/>
        <w:ind w:firstLine="436"/>
      </w:pPr>
      <w:r>
        <w:t>注：</w:t>
      </w:r>
      <w:r>
        <w:rPr>
          <w:rFonts w:hint="eastAsia"/>
        </w:rPr>
        <w:t>V为油罐总容积。</w:t>
      </w:r>
      <w:r>
        <w:t>柴油罐容积可折半计入油罐总容积。</w:t>
      </w:r>
    </w:p>
    <w:p w14:paraId="378B8F18">
      <w:pPr>
        <w:pStyle w:val="8"/>
        <w:widowControl w:val="0"/>
        <w:spacing w:line="360" w:lineRule="auto"/>
        <w:ind w:firstLine="560"/>
        <w:rPr>
          <w:rFonts w:ascii="宋体"/>
        </w:rPr>
      </w:pPr>
      <w:r>
        <w:rPr>
          <w:rFonts w:ascii="宋体"/>
        </w:rPr>
        <w:t>该站现有职工</w:t>
      </w:r>
      <w:r>
        <w:rPr>
          <w:rFonts w:hint="eastAsia" w:ascii="宋体"/>
          <w:lang w:val="en-US" w:eastAsia="zh-CN"/>
        </w:rPr>
        <w:t>9</w:t>
      </w:r>
      <w:r>
        <w:rPr>
          <w:rFonts w:hint="eastAsia" w:ascii="宋体"/>
        </w:rPr>
        <w:t>人</w:t>
      </w:r>
      <w:r>
        <w:rPr>
          <w:rFonts w:ascii="宋体"/>
        </w:rPr>
        <w:t>，</w:t>
      </w:r>
      <w:r>
        <w:rPr>
          <w:rFonts w:hint="eastAsia" w:ascii="宋体"/>
        </w:rPr>
        <w:t>其中</w:t>
      </w:r>
      <w:r>
        <w:rPr>
          <w:rFonts w:ascii="宋体"/>
        </w:rPr>
        <w:t>主要负责人</w:t>
      </w:r>
      <w:r>
        <w:rPr>
          <w:rFonts w:hint="eastAsia" w:ascii="宋体"/>
        </w:rPr>
        <w:t>1</w:t>
      </w:r>
      <w:r>
        <w:rPr>
          <w:rFonts w:ascii="宋体"/>
        </w:rPr>
        <w:t>人，安全生产管理人员</w:t>
      </w:r>
      <w:r>
        <w:rPr>
          <w:rFonts w:hint="eastAsia" w:ascii="宋体"/>
        </w:rPr>
        <w:t>1人。主要负责人和安全生产管理人员已参加了危险化学品安全管理培训，并取得考核合格证，</w:t>
      </w:r>
      <w:r>
        <w:rPr>
          <w:rFonts w:ascii="宋体"/>
        </w:rPr>
        <w:t>详见附件。</w:t>
      </w:r>
    </w:p>
    <w:p w14:paraId="497ABBAF">
      <w:pPr>
        <w:pStyle w:val="8"/>
        <w:widowControl w:val="0"/>
        <w:spacing w:line="360" w:lineRule="auto"/>
        <w:ind w:firstLine="560"/>
        <w:rPr>
          <w:rFonts w:ascii="宋体"/>
        </w:rPr>
      </w:pPr>
      <w:r>
        <w:rPr>
          <w:rFonts w:hint="eastAsia" w:ascii="宋体"/>
        </w:rPr>
        <w:t>加油站于200</w:t>
      </w:r>
      <w:r>
        <w:rPr>
          <w:rFonts w:hint="eastAsia" w:ascii="宋体"/>
          <w:lang w:val="en-US" w:eastAsia="zh-CN"/>
        </w:rPr>
        <w:t>1</w:t>
      </w:r>
      <w:r>
        <w:rPr>
          <w:rFonts w:hint="eastAsia" w:ascii="宋体"/>
        </w:rPr>
        <w:t>年</w:t>
      </w:r>
      <w:r>
        <w:rPr>
          <w:rFonts w:hint="eastAsia" w:ascii="宋体"/>
          <w:lang w:val="en-US" w:eastAsia="zh-CN"/>
        </w:rPr>
        <w:t>12</w:t>
      </w:r>
      <w:r>
        <w:rPr>
          <w:rFonts w:hint="eastAsia" w:ascii="宋体"/>
        </w:rPr>
        <w:t>月21日取得了</w:t>
      </w:r>
      <w:r>
        <w:rPr>
          <w:rFonts w:hint="eastAsia" w:ascii="宋体"/>
          <w:lang w:val="en-US" w:eastAsia="zh-CN"/>
        </w:rPr>
        <w:t>新泰市</w:t>
      </w:r>
      <w:r>
        <w:rPr>
          <w:rFonts w:hint="eastAsia" w:ascii="宋体"/>
        </w:rPr>
        <w:t>公安消防大队出具的《</w:t>
      </w:r>
      <w:r>
        <w:rPr>
          <w:rFonts w:hint="eastAsia" w:ascii="宋体"/>
          <w:lang w:val="en-US" w:eastAsia="zh-CN"/>
        </w:rPr>
        <w:t>建筑工程</w:t>
      </w:r>
      <w:r>
        <w:rPr>
          <w:rFonts w:hint="eastAsia" w:ascii="宋体"/>
        </w:rPr>
        <w:t>消防</w:t>
      </w:r>
      <w:r>
        <w:rPr>
          <w:rFonts w:hint="eastAsia" w:ascii="宋体"/>
          <w:lang w:val="en-US" w:eastAsia="zh-CN"/>
        </w:rPr>
        <w:t>验收意见书</w:t>
      </w:r>
      <w:r>
        <w:rPr>
          <w:rFonts w:hint="eastAsia" w:ascii="宋体"/>
        </w:rPr>
        <w:t>》，编号：</w:t>
      </w:r>
      <w:r>
        <w:rPr>
          <w:rFonts w:hint="eastAsia" w:ascii="宋体"/>
          <w:lang w:val="en-US" w:eastAsia="zh-CN"/>
        </w:rPr>
        <w:t>2001新</w:t>
      </w:r>
      <w:r>
        <w:rPr>
          <w:rFonts w:hint="eastAsia" w:ascii="宋体"/>
        </w:rPr>
        <w:t>公消</w:t>
      </w:r>
      <w:r>
        <w:rPr>
          <w:rFonts w:hint="eastAsia" w:ascii="宋体"/>
          <w:lang w:val="en-US" w:eastAsia="zh-CN"/>
        </w:rPr>
        <w:t>审第068</w:t>
      </w:r>
      <w:r>
        <w:rPr>
          <w:rFonts w:hint="eastAsia" w:ascii="宋体"/>
        </w:rPr>
        <w:t>号，详见附件。</w:t>
      </w:r>
    </w:p>
    <w:p w14:paraId="615EC04D">
      <w:pPr>
        <w:pStyle w:val="8"/>
        <w:widowControl w:val="0"/>
        <w:spacing w:line="360" w:lineRule="auto"/>
        <w:ind w:firstLine="560"/>
        <w:rPr>
          <w:rFonts w:hint="eastAsia" w:ascii="宋体"/>
        </w:rPr>
      </w:pPr>
      <w:r>
        <w:rPr>
          <w:rFonts w:hint="eastAsia" w:ascii="宋体"/>
          <w:lang w:val="en-US" w:eastAsia="zh-CN"/>
        </w:rPr>
        <w:t>该加油站</w:t>
      </w:r>
      <w:r>
        <w:rPr>
          <w:rFonts w:hint="eastAsia" w:ascii="宋体"/>
        </w:rPr>
        <w:t>于200</w:t>
      </w:r>
      <w:r>
        <w:rPr>
          <w:rFonts w:hint="eastAsia" w:ascii="宋体"/>
          <w:lang w:val="en-US" w:eastAsia="zh-CN"/>
        </w:rPr>
        <w:t>3</w:t>
      </w:r>
      <w:r>
        <w:rPr>
          <w:rFonts w:hint="eastAsia" w:ascii="宋体"/>
        </w:rPr>
        <w:t>年</w:t>
      </w:r>
      <w:r>
        <w:rPr>
          <w:rFonts w:hint="eastAsia" w:ascii="宋体"/>
          <w:lang w:val="en-US" w:eastAsia="zh-CN"/>
        </w:rPr>
        <w:t>10</w:t>
      </w:r>
      <w:r>
        <w:rPr>
          <w:rFonts w:hint="eastAsia" w:ascii="宋体"/>
        </w:rPr>
        <w:t>月</w:t>
      </w:r>
      <w:r>
        <w:rPr>
          <w:rFonts w:hint="eastAsia" w:ascii="宋体"/>
          <w:lang w:val="en-US" w:eastAsia="zh-CN"/>
        </w:rPr>
        <w:t>25</w:t>
      </w:r>
      <w:r>
        <w:rPr>
          <w:rFonts w:hint="eastAsia" w:ascii="宋体"/>
        </w:rPr>
        <w:t>日签订了《租赁合同》</w:t>
      </w:r>
      <w:r>
        <w:rPr>
          <w:rFonts w:hint="eastAsia" w:ascii="宋体"/>
          <w:lang w:eastAsia="zh-CN"/>
        </w:rPr>
        <w:t>，</w:t>
      </w:r>
      <w:r>
        <w:rPr>
          <w:rFonts w:hint="eastAsia" w:ascii="宋体"/>
        </w:rPr>
        <w:t>详见附件。</w:t>
      </w:r>
      <w:bookmarkStart w:id="14" w:name="_Hlk508440011"/>
    </w:p>
    <w:p w14:paraId="3EBE9AEA">
      <w:pPr>
        <w:pStyle w:val="8"/>
        <w:widowControl w:val="0"/>
        <w:spacing w:line="360" w:lineRule="auto"/>
        <w:ind w:firstLine="560"/>
        <w:rPr>
          <w:rFonts w:ascii="宋体"/>
        </w:rPr>
      </w:pPr>
      <w:r>
        <w:rPr>
          <w:rFonts w:hint="eastAsia" w:ascii="宋体"/>
          <w:color w:val="000000" w:themeColor="text1"/>
          <w14:textFill>
            <w14:solidFill>
              <w14:schemeClr w14:val="tx1"/>
            </w14:solidFill>
          </w14:textFill>
        </w:rPr>
        <w:t>该站编制了生产安全事故应急预案，于202</w:t>
      </w:r>
      <w:r>
        <w:rPr>
          <w:rFonts w:hint="eastAsia" w:ascii="宋体"/>
          <w:color w:val="000000" w:themeColor="text1"/>
          <w:lang w:val="en-US" w:eastAsia="zh-CN"/>
          <w14:textFill>
            <w14:solidFill>
              <w14:schemeClr w14:val="tx1"/>
            </w14:solidFill>
          </w14:textFill>
        </w:rPr>
        <w:t>1</w:t>
      </w:r>
      <w:r>
        <w:rPr>
          <w:rFonts w:hint="eastAsia" w:ascii="宋体"/>
          <w:color w:val="000000" w:themeColor="text1"/>
          <w14:textFill>
            <w14:solidFill>
              <w14:schemeClr w14:val="tx1"/>
            </w14:solidFill>
          </w14:textFill>
        </w:rPr>
        <w:t>年</w:t>
      </w:r>
      <w:r>
        <w:rPr>
          <w:rFonts w:hint="eastAsia" w:ascii="宋体"/>
          <w:color w:val="000000" w:themeColor="text1"/>
          <w:lang w:val="en-US" w:eastAsia="zh-CN"/>
          <w14:textFill>
            <w14:solidFill>
              <w14:schemeClr w14:val="tx1"/>
            </w14:solidFill>
          </w14:textFill>
        </w:rPr>
        <w:t>9</w:t>
      </w:r>
      <w:r>
        <w:rPr>
          <w:rFonts w:hint="eastAsia" w:ascii="宋体"/>
          <w:color w:val="000000" w:themeColor="text1"/>
          <w14:textFill>
            <w14:solidFill>
              <w14:schemeClr w14:val="tx1"/>
            </w14:solidFill>
          </w14:textFill>
        </w:rPr>
        <w:t>月2</w:t>
      </w:r>
      <w:r>
        <w:rPr>
          <w:rFonts w:hint="eastAsia" w:ascii="宋体"/>
          <w:color w:val="000000" w:themeColor="text1"/>
          <w:lang w:val="en-US" w:eastAsia="zh-CN"/>
          <w14:textFill>
            <w14:solidFill>
              <w14:schemeClr w14:val="tx1"/>
            </w14:solidFill>
          </w14:textFill>
        </w:rPr>
        <w:t>4</w:t>
      </w:r>
      <w:r>
        <w:rPr>
          <w:rFonts w:hint="eastAsia" w:ascii="宋体"/>
          <w:color w:val="000000" w:themeColor="text1"/>
          <w14:textFill>
            <w14:solidFill>
              <w14:schemeClr w14:val="tx1"/>
            </w14:solidFill>
          </w14:textFill>
        </w:rPr>
        <w:t>日在</w:t>
      </w:r>
      <w:r>
        <w:rPr>
          <w:rFonts w:hint="eastAsia" w:ascii="宋体"/>
          <w:color w:val="000000" w:themeColor="text1"/>
          <w:lang w:val="en-US" w:eastAsia="zh-CN"/>
          <w14:textFill>
            <w14:solidFill>
              <w14:schemeClr w14:val="tx1"/>
            </w14:solidFill>
          </w14:textFill>
        </w:rPr>
        <w:t>新泰市</w:t>
      </w:r>
      <w:r>
        <w:rPr>
          <w:rFonts w:hint="eastAsia" w:ascii="宋体"/>
          <w:color w:val="000000" w:themeColor="text1"/>
          <w14:textFill>
            <w14:solidFill>
              <w14:schemeClr w14:val="tx1"/>
            </w14:solidFill>
          </w14:textFill>
        </w:rPr>
        <w:t>应急管理局进行了备案，备案编号为：3709</w:t>
      </w:r>
      <w:r>
        <w:rPr>
          <w:rFonts w:hint="eastAsia" w:ascii="宋体"/>
          <w:color w:val="000000" w:themeColor="text1"/>
          <w:lang w:val="en-US" w:eastAsia="zh-CN"/>
          <w14:textFill>
            <w14:solidFill>
              <w14:schemeClr w14:val="tx1"/>
            </w14:solidFill>
          </w14:textFill>
        </w:rPr>
        <w:t>82</w:t>
      </w:r>
      <w:r>
        <w:rPr>
          <w:rFonts w:hint="eastAsia" w:ascii="宋体"/>
          <w:color w:val="000000" w:themeColor="text1"/>
          <w14:textFill>
            <w14:solidFill>
              <w14:schemeClr w14:val="tx1"/>
            </w14:solidFill>
          </w14:textFill>
        </w:rPr>
        <w:t>-202</w:t>
      </w:r>
      <w:r>
        <w:rPr>
          <w:rFonts w:hint="eastAsia" w:ascii="宋体"/>
          <w:color w:val="000000" w:themeColor="text1"/>
          <w:lang w:val="en-US" w:eastAsia="zh-CN"/>
          <w14:textFill>
            <w14:solidFill>
              <w14:schemeClr w14:val="tx1"/>
            </w14:solidFill>
          </w14:textFill>
        </w:rPr>
        <w:t>1</w:t>
      </w:r>
      <w:r>
        <w:rPr>
          <w:rFonts w:hint="eastAsia" w:ascii="宋体"/>
          <w:color w:val="000000" w:themeColor="text1"/>
          <w14:textFill>
            <w14:solidFill>
              <w14:schemeClr w14:val="tx1"/>
            </w14:solidFill>
          </w14:textFill>
        </w:rPr>
        <w:t>-</w:t>
      </w:r>
      <w:r>
        <w:rPr>
          <w:rFonts w:hint="eastAsia" w:ascii="宋体"/>
          <w:color w:val="000000" w:themeColor="text1"/>
          <w:lang w:val="en-US" w:eastAsia="zh-CN"/>
          <w14:textFill>
            <w14:solidFill>
              <w14:schemeClr w14:val="tx1"/>
            </w14:solidFill>
          </w14:textFill>
        </w:rPr>
        <w:t>0263</w:t>
      </w:r>
      <w:r>
        <w:rPr>
          <w:rFonts w:hint="eastAsia" w:ascii="宋体"/>
          <w:color w:val="000000" w:themeColor="text1"/>
          <w14:textFill>
            <w14:solidFill>
              <w14:schemeClr w14:val="tx1"/>
            </w14:solidFill>
          </w14:textFill>
        </w:rPr>
        <w:t>。详见附件。</w:t>
      </w:r>
      <w:bookmarkEnd w:id="14"/>
    </w:p>
    <w:p w14:paraId="529DD07F">
      <w:pPr>
        <w:pStyle w:val="8"/>
        <w:widowControl w:val="0"/>
        <w:spacing w:line="360" w:lineRule="auto"/>
        <w:ind w:firstLine="560"/>
        <w:rPr>
          <w:rFonts w:ascii="宋体"/>
        </w:rPr>
      </w:pPr>
      <w:r>
        <w:rPr>
          <w:rFonts w:hint="eastAsia" w:ascii="宋体"/>
        </w:rPr>
        <w:t>加油站于202</w:t>
      </w:r>
      <w:r>
        <w:rPr>
          <w:rFonts w:hint="eastAsia" w:ascii="宋体"/>
          <w:lang w:val="en-US" w:eastAsia="zh-CN"/>
        </w:rPr>
        <w:t>4</w:t>
      </w:r>
      <w:r>
        <w:rPr>
          <w:rFonts w:hint="eastAsia" w:ascii="宋体"/>
        </w:rPr>
        <w:t>年</w:t>
      </w:r>
      <w:r>
        <w:rPr>
          <w:rFonts w:hint="eastAsia" w:ascii="宋体"/>
          <w:lang w:val="en-US" w:eastAsia="zh-CN"/>
        </w:rPr>
        <w:t>4</w:t>
      </w:r>
      <w:r>
        <w:rPr>
          <w:rFonts w:hint="eastAsia" w:ascii="宋体"/>
        </w:rPr>
        <w:t>月</w:t>
      </w:r>
      <w:r>
        <w:rPr>
          <w:rFonts w:hint="eastAsia" w:ascii="宋体"/>
          <w:lang w:val="en-US" w:eastAsia="zh-CN"/>
        </w:rPr>
        <w:t>26</w:t>
      </w:r>
      <w:r>
        <w:rPr>
          <w:rFonts w:hint="eastAsia" w:ascii="宋体"/>
        </w:rPr>
        <w:t>日换发了《危险化学品经营许可证》，证书编号：鲁泰危化经[202</w:t>
      </w:r>
      <w:r>
        <w:rPr>
          <w:rFonts w:hint="eastAsia" w:ascii="宋体"/>
          <w:lang w:val="en-US" w:eastAsia="zh-CN"/>
        </w:rPr>
        <w:t>2</w:t>
      </w:r>
      <w:r>
        <w:rPr>
          <w:rFonts w:hint="eastAsia" w:ascii="宋体"/>
        </w:rPr>
        <w:t>]000</w:t>
      </w:r>
      <w:r>
        <w:rPr>
          <w:rFonts w:hint="eastAsia" w:ascii="宋体"/>
          <w:lang w:val="en-US" w:eastAsia="zh-CN"/>
        </w:rPr>
        <w:t>081</w:t>
      </w:r>
      <w:r>
        <w:rPr>
          <w:rFonts w:hint="eastAsia" w:ascii="宋体"/>
        </w:rPr>
        <w:t>号，证书有效期202</w:t>
      </w:r>
      <w:r>
        <w:rPr>
          <w:rFonts w:hint="eastAsia" w:ascii="宋体"/>
          <w:lang w:val="en-US" w:eastAsia="zh-CN"/>
        </w:rPr>
        <w:t>2</w:t>
      </w:r>
      <w:r>
        <w:rPr>
          <w:rFonts w:hint="eastAsia" w:ascii="宋体"/>
        </w:rPr>
        <w:t>年1月</w:t>
      </w:r>
      <w:r>
        <w:rPr>
          <w:rFonts w:hint="eastAsia" w:ascii="宋体"/>
          <w:lang w:val="en-US" w:eastAsia="zh-CN"/>
        </w:rPr>
        <w:t>15</w:t>
      </w:r>
      <w:r>
        <w:rPr>
          <w:rFonts w:hint="eastAsia" w:ascii="宋体"/>
        </w:rPr>
        <w:t>日至202</w:t>
      </w:r>
      <w:r>
        <w:rPr>
          <w:rFonts w:hint="eastAsia" w:ascii="宋体"/>
          <w:lang w:val="en-US" w:eastAsia="zh-CN"/>
        </w:rPr>
        <w:t>5</w:t>
      </w:r>
      <w:r>
        <w:rPr>
          <w:rFonts w:hint="eastAsia" w:ascii="宋体"/>
        </w:rPr>
        <w:t>年1月</w:t>
      </w:r>
      <w:r>
        <w:rPr>
          <w:rFonts w:hint="eastAsia" w:ascii="宋体"/>
          <w:lang w:val="en-US" w:eastAsia="zh-CN"/>
        </w:rPr>
        <w:t>14</w:t>
      </w:r>
      <w:r>
        <w:rPr>
          <w:rFonts w:hint="eastAsia" w:ascii="宋体"/>
        </w:rPr>
        <w:t>日</w:t>
      </w:r>
      <w:r>
        <w:rPr>
          <w:rFonts w:ascii="宋体"/>
        </w:rPr>
        <w:t>。</w:t>
      </w:r>
      <w:r>
        <w:rPr>
          <w:rFonts w:hint="eastAsia" w:ascii="宋体"/>
        </w:rPr>
        <w:t>证书见附件。</w:t>
      </w:r>
    </w:p>
    <w:p w14:paraId="61A6ACEA">
      <w:pPr>
        <w:pStyle w:val="8"/>
        <w:widowControl w:val="0"/>
        <w:spacing w:line="360" w:lineRule="auto"/>
        <w:ind w:firstLine="560"/>
        <w:rPr>
          <w:rFonts w:ascii="宋体"/>
        </w:rPr>
      </w:pPr>
      <w:r>
        <w:rPr>
          <w:rFonts w:hint="eastAsia" w:ascii="宋体"/>
        </w:rPr>
        <w:t>加油站于202</w:t>
      </w:r>
      <w:r>
        <w:rPr>
          <w:rFonts w:hint="eastAsia" w:ascii="宋体"/>
          <w:lang w:val="en-US" w:eastAsia="zh-CN"/>
        </w:rPr>
        <w:t>4</w:t>
      </w:r>
      <w:r>
        <w:rPr>
          <w:rFonts w:hint="eastAsia" w:ascii="宋体"/>
        </w:rPr>
        <w:t>年</w:t>
      </w:r>
      <w:r>
        <w:rPr>
          <w:rFonts w:hint="eastAsia" w:ascii="宋体"/>
          <w:lang w:val="en-US" w:eastAsia="zh-CN"/>
        </w:rPr>
        <w:t>5</w:t>
      </w:r>
      <w:r>
        <w:rPr>
          <w:rFonts w:hint="eastAsia" w:ascii="宋体"/>
        </w:rPr>
        <w:t>月</w:t>
      </w:r>
      <w:r>
        <w:rPr>
          <w:rFonts w:hint="eastAsia" w:ascii="宋体"/>
          <w:lang w:val="en-US" w:eastAsia="zh-CN"/>
        </w:rPr>
        <w:t>28</w:t>
      </w:r>
      <w:r>
        <w:rPr>
          <w:rFonts w:hint="eastAsia" w:ascii="宋体"/>
        </w:rPr>
        <w:t>日换发了《成品油零售经营批准证书》，证书编号：鲁油零售证书第37090</w:t>
      </w:r>
      <w:r>
        <w:rPr>
          <w:rFonts w:hint="eastAsia" w:ascii="宋体"/>
          <w:lang w:val="en-US" w:eastAsia="zh-CN"/>
        </w:rPr>
        <w:t>2</w:t>
      </w:r>
      <w:r>
        <w:rPr>
          <w:rFonts w:hint="eastAsia" w:ascii="宋体"/>
        </w:rPr>
        <w:t>30</w:t>
      </w:r>
      <w:r>
        <w:rPr>
          <w:rFonts w:hint="eastAsia" w:ascii="宋体"/>
          <w:lang w:val="en-US" w:eastAsia="zh-CN"/>
        </w:rPr>
        <w:t>5</w:t>
      </w:r>
      <w:r>
        <w:rPr>
          <w:rFonts w:hint="eastAsia" w:ascii="宋体"/>
        </w:rPr>
        <w:t>5号，证书有效期至202</w:t>
      </w:r>
      <w:r>
        <w:rPr>
          <w:rFonts w:hint="eastAsia" w:ascii="宋体"/>
          <w:lang w:val="en-US" w:eastAsia="zh-CN"/>
        </w:rPr>
        <w:t>6</w:t>
      </w:r>
      <w:r>
        <w:rPr>
          <w:rFonts w:hint="eastAsia" w:ascii="宋体"/>
        </w:rPr>
        <w:t>年</w:t>
      </w:r>
      <w:r>
        <w:rPr>
          <w:rFonts w:hint="eastAsia" w:ascii="宋体"/>
          <w:lang w:val="en-US" w:eastAsia="zh-CN"/>
        </w:rPr>
        <w:t>4</w:t>
      </w:r>
      <w:r>
        <w:rPr>
          <w:rFonts w:hint="eastAsia" w:ascii="宋体"/>
        </w:rPr>
        <w:t>月</w:t>
      </w:r>
      <w:r>
        <w:rPr>
          <w:rFonts w:hint="eastAsia" w:ascii="宋体"/>
          <w:lang w:val="en-US" w:eastAsia="zh-CN"/>
        </w:rPr>
        <w:t>22</w:t>
      </w:r>
      <w:r>
        <w:rPr>
          <w:rFonts w:hint="eastAsia" w:ascii="宋体"/>
        </w:rPr>
        <w:t>日。证书见附件。</w:t>
      </w:r>
    </w:p>
    <w:p w14:paraId="7C04FD98">
      <w:pPr>
        <w:pStyle w:val="8"/>
        <w:widowControl w:val="0"/>
        <w:spacing w:line="360" w:lineRule="auto"/>
        <w:ind w:firstLine="560"/>
        <w:rPr>
          <w:rFonts w:ascii="宋体"/>
          <w:color w:val="FF0000"/>
        </w:rPr>
      </w:pPr>
      <w:r>
        <w:rPr>
          <w:rFonts w:hint="eastAsia" w:ascii="宋体"/>
          <w:color w:val="000000" w:themeColor="text1"/>
          <w:lang w:val="en-US" w:eastAsia="zh-CN"/>
          <w14:textFill>
            <w14:solidFill>
              <w14:schemeClr w14:val="tx1"/>
            </w14:solidFill>
          </w14:textFill>
        </w:rPr>
        <w:t>该站</w:t>
      </w:r>
      <w:r>
        <w:rPr>
          <w:rFonts w:hint="eastAsia" w:ascii="宋体"/>
          <w:color w:val="000000" w:themeColor="text1"/>
          <w14:textFill>
            <w14:solidFill>
              <w14:schemeClr w14:val="tx1"/>
            </w14:solidFill>
          </w14:textFill>
        </w:rPr>
        <w:t>购买了中国</w:t>
      </w:r>
      <w:r>
        <w:rPr>
          <w:rFonts w:hint="eastAsia" w:ascii="宋体"/>
          <w:color w:val="000000" w:themeColor="text1"/>
          <w:lang w:val="en-US" w:eastAsia="zh-CN"/>
          <w14:textFill>
            <w14:solidFill>
              <w14:schemeClr w14:val="tx1"/>
            </w14:solidFill>
          </w14:textFill>
        </w:rPr>
        <w:t>人寿</w:t>
      </w:r>
      <w:r>
        <w:rPr>
          <w:rFonts w:hint="eastAsia" w:ascii="宋体"/>
          <w:color w:val="000000" w:themeColor="text1"/>
          <w14:textFill>
            <w14:solidFill>
              <w14:schemeClr w14:val="tx1"/>
            </w14:solidFill>
          </w14:textFill>
        </w:rPr>
        <w:t>财产保险股份有限公司的安全生产责任保险，保单号为</w:t>
      </w:r>
      <w:r>
        <w:rPr>
          <w:rFonts w:hint="eastAsia" w:ascii="宋体"/>
          <w:color w:val="000000" w:themeColor="text1"/>
          <w:lang w:val="en-US" w:eastAsia="zh-CN"/>
          <w14:textFill>
            <w14:solidFill>
              <w14:schemeClr w14:val="tx1"/>
            </w14:solidFill>
          </w14:textFill>
        </w:rPr>
        <w:t>6615412023370982000057</w:t>
      </w:r>
      <w:r>
        <w:rPr>
          <w:rFonts w:hint="eastAsia" w:ascii="宋体"/>
          <w:color w:val="000000" w:themeColor="text1"/>
          <w14:textFill>
            <w14:solidFill>
              <w14:schemeClr w14:val="tx1"/>
            </w14:solidFill>
          </w14:textFill>
        </w:rPr>
        <w:t>，保险期限为202</w:t>
      </w:r>
      <w:r>
        <w:rPr>
          <w:rFonts w:hint="eastAsia" w:ascii="宋体"/>
          <w:color w:val="000000" w:themeColor="text1"/>
          <w:lang w:val="en-US" w:eastAsia="zh-CN"/>
          <w14:textFill>
            <w14:solidFill>
              <w14:schemeClr w14:val="tx1"/>
            </w14:solidFill>
          </w14:textFill>
        </w:rPr>
        <w:t>3</w:t>
      </w:r>
      <w:r>
        <w:rPr>
          <w:rFonts w:hint="eastAsia" w:ascii="宋体"/>
          <w:color w:val="000000" w:themeColor="text1"/>
          <w14:textFill>
            <w14:solidFill>
              <w14:schemeClr w14:val="tx1"/>
            </w14:solidFill>
          </w14:textFill>
        </w:rPr>
        <w:t>年0</w:t>
      </w:r>
      <w:r>
        <w:rPr>
          <w:rFonts w:hint="eastAsia" w:ascii="宋体"/>
          <w:color w:val="000000" w:themeColor="text1"/>
          <w:lang w:val="en-US" w:eastAsia="zh-CN"/>
          <w14:textFill>
            <w14:solidFill>
              <w14:schemeClr w14:val="tx1"/>
            </w14:solidFill>
          </w14:textFill>
        </w:rPr>
        <w:t>9</w:t>
      </w:r>
      <w:r>
        <w:rPr>
          <w:rFonts w:hint="eastAsia" w:ascii="宋体"/>
          <w:color w:val="000000" w:themeColor="text1"/>
          <w14:textFill>
            <w14:solidFill>
              <w14:schemeClr w14:val="tx1"/>
            </w14:solidFill>
          </w14:textFill>
        </w:rPr>
        <w:t>月1</w:t>
      </w:r>
      <w:r>
        <w:rPr>
          <w:rFonts w:hint="eastAsia" w:ascii="宋体"/>
          <w:color w:val="000000" w:themeColor="text1"/>
          <w:lang w:val="en-US" w:eastAsia="zh-CN"/>
          <w14:textFill>
            <w14:solidFill>
              <w14:schemeClr w14:val="tx1"/>
            </w14:solidFill>
          </w14:textFill>
        </w:rPr>
        <w:t>4</w:t>
      </w:r>
      <w:r>
        <w:rPr>
          <w:rFonts w:hint="eastAsia" w:ascii="宋体"/>
          <w:color w:val="000000" w:themeColor="text1"/>
          <w14:textFill>
            <w14:solidFill>
              <w14:schemeClr w14:val="tx1"/>
            </w14:solidFill>
          </w14:textFill>
        </w:rPr>
        <w:t>日至202</w:t>
      </w:r>
      <w:r>
        <w:rPr>
          <w:rFonts w:hint="eastAsia" w:ascii="宋体"/>
          <w:color w:val="000000" w:themeColor="text1"/>
          <w:lang w:val="en-US" w:eastAsia="zh-CN"/>
          <w14:textFill>
            <w14:solidFill>
              <w14:schemeClr w14:val="tx1"/>
            </w14:solidFill>
          </w14:textFill>
        </w:rPr>
        <w:t>4</w:t>
      </w:r>
      <w:r>
        <w:rPr>
          <w:rFonts w:hint="eastAsia" w:ascii="宋体"/>
          <w:color w:val="000000" w:themeColor="text1"/>
          <w14:textFill>
            <w14:solidFill>
              <w14:schemeClr w14:val="tx1"/>
            </w14:solidFill>
          </w14:textFill>
        </w:rPr>
        <w:t>年0</w:t>
      </w:r>
      <w:r>
        <w:rPr>
          <w:rFonts w:hint="eastAsia" w:ascii="宋体"/>
          <w:color w:val="000000" w:themeColor="text1"/>
          <w:lang w:val="en-US" w:eastAsia="zh-CN"/>
          <w14:textFill>
            <w14:solidFill>
              <w14:schemeClr w14:val="tx1"/>
            </w14:solidFill>
          </w14:textFill>
        </w:rPr>
        <w:t>9</w:t>
      </w:r>
      <w:r>
        <w:rPr>
          <w:rFonts w:hint="eastAsia" w:ascii="宋体"/>
          <w:color w:val="000000" w:themeColor="text1"/>
          <w14:textFill>
            <w14:solidFill>
              <w14:schemeClr w14:val="tx1"/>
            </w14:solidFill>
          </w14:textFill>
        </w:rPr>
        <w:t>月1</w:t>
      </w:r>
      <w:r>
        <w:rPr>
          <w:rFonts w:hint="eastAsia" w:ascii="宋体"/>
          <w:color w:val="000000" w:themeColor="text1"/>
          <w:lang w:val="en-US" w:eastAsia="zh-CN"/>
          <w14:textFill>
            <w14:solidFill>
              <w14:schemeClr w14:val="tx1"/>
            </w14:solidFill>
          </w14:textFill>
        </w:rPr>
        <w:t>3</w:t>
      </w:r>
      <w:r>
        <w:rPr>
          <w:rFonts w:hint="eastAsia" w:ascii="宋体"/>
          <w:color w:val="000000" w:themeColor="text1"/>
          <w14:textFill>
            <w14:solidFill>
              <w14:schemeClr w14:val="tx1"/>
            </w14:solidFill>
          </w14:textFill>
        </w:rPr>
        <w:t>日。详见附件。</w:t>
      </w:r>
    </w:p>
    <w:p w14:paraId="6681A70E">
      <w:pPr>
        <w:pStyle w:val="8"/>
        <w:widowControl w:val="0"/>
        <w:spacing w:line="360" w:lineRule="auto"/>
        <w:ind w:firstLine="560"/>
        <w:rPr>
          <w:rFonts w:ascii="宋体"/>
        </w:rPr>
      </w:pPr>
      <w:r>
        <w:rPr>
          <w:rFonts w:hint="eastAsia" w:ascii="宋体"/>
          <w:lang w:val="en-US" w:eastAsia="zh-CN"/>
        </w:rPr>
        <w:t>山东天科防雷工程</w:t>
      </w:r>
      <w:r>
        <w:rPr>
          <w:rFonts w:hint="eastAsia" w:ascii="宋体"/>
        </w:rPr>
        <w:t>有限公司对该站进行了相关防雷设施的检测，出具了合格的《雷</w:t>
      </w:r>
      <w:r>
        <w:rPr>
          <w:rFonts w:hint="eastAsia" w:ascii="宋体"/>
          <w:lang w:val="en-US" w:eastAsia="zh-CN"/>
        </w:rPr>
        <w:t>电防护装置定期</w:t>
      </w:r>
      <w:r>
        <w:rPr>
          <w:rFonts w:hint="eastAsia" w:ascii="宋体"/>
        </w:rPr>
        <w:t>检测报告》，报告编号：</w:t>
      </w:r>
      <w:r>
        <w:rPr>
          <w:rFonts w:hint="eastAsia" w:ascii="宋体"/>
          <w:lang w:eastAsia="zh-CN"/>
        </w:rPr>
        <w:t>（</w:t>
      </w:r>
      <w:r>
        <w:rPr>
          <w:rFonts w:hint="eastAsia" w:ascii="宋体"/>
          <w:lang w:val="en-US" w:eastAsia="zh-CN"/>
        </w:rPr>
        <w:t>1122016001</w:t>
      </w:r>
      <w:r>
        <w:rPr>
          <w:rFonts w:hint="eastAsia" w:ascii="宋体"/>
          <w:lang w:eastAsia="zh-CN"/>
        </w:rPr>
        <w:t>）</w:t>
      </w:r>
      <w:r>
        <w:rPr>
          <w:rFonts w:hint="eastAsia" w:ascii="宋体"/>
        </w:rPr>
        <w:t>[2024]</w:t>
      </w:r>
      <w:r>
        <w:rPr>
          <w:rFonts w:hint="eastAsia" w:ascii="宋体"/>
          <w:lang w:val="en-US" w:eastAsia="zh-CN"/>
        </w:rPr>
        <w:t>TAXT</w:t>
      </w:r>
      <w:r>
        <w:rPr>
          <w:rFonts w:hint="eastAsia" w:ascii="宋体"/>
        </w:rPr>
        <w:t>-0</w:t>
      </w:r>
      <w:r>
        <w:rPr>
          <w:rFonts w:hint="eastAsia" w:ascii="宋体"/>
          <w:lang w:val="en-US" w:eastAsia="zh-CN"/>
        </w:rPr>
        <w:t>143</w:t>
      </w:r>
      <w:r>
        <w:rPr>
          <w:rFonts w:hint="eastAsia" w:ascii="宋体"/>
        </w:rPr>
        <w:t>号，防雷类别：二类，有效期2024年0</w:t>
      </w:r>
      <w:r>
        <w:rPr>
          <w:rFonts w:hint="eastAsia" w:ascii="宋体"/>
          <w:lang w:val="en-US" w:eastAsia="zh-CN"/>
        </w:rPr>
        <w:t>4</w:t>
      </w:r>
      <w:r>
        <w:rPr>
          <w:rFonts w:hint="eastAsia" w:ascii="宋体"/>
        </w:rPr>
        <w:t>月0</w:t>
      </w:r>
      <w:r>
        <w:rPr>
          <w:rFonts w:hint="eastAsia" w:ascii="宋体"/>
          <w:lang w:val="en-US" w:eastAsia="zh-CN"/>
        </w:rPr>
        <w:t>6</w:t>
      </w:r>
      <w:r>
        <w:rPr>
          <w:rFonts w:hint="eastAsia" w:ascii="宋体"/>
        </w:rPr>
        <w:t>日至2024年1</w:t>
      </w:r>
      <w:r>
        <w:rPr>
          <w:rFonts w:hint="eastAsia" w:ascii="宋体"/>
          <w:lang w:val="en-US" w:eastAsia="zh-CN"/>
        </w:rPr>
        <w:t>0</w:t>
      </w:r>
      <w:r>
        <w:rPr>
          <w:rFonts w:hint="eastAsia" w:ascii="宋体"/>
        </w:rPr>
        <w:t>月0</w:t>
      </w:r>
      <w:r>
        <w:rPr>
          <w:rFonts w:hint="eastAsia" w:ascii="宋体"/>
          <w:lang w:val="en-US" w:eastAsia="zh-CN"/>
        </w:rPr>
        <w:t>5</w:t>
      </w:r>
      <w:r>
        <w:rPr>
          <w:rFonts w:hint="eastAsia" w:ascii="宋体"/>
        </w:rPr>
        <w:t>日。检测报告见附件。</w:t>
      </w:r>
    </w:p>
    <w:p w14:paraId="16F2A13A">
      <w:pPr>
        <w:pStyle w:val="8"/>
        <w:widowControl w:val="0"/>
        <w:spacing w:line="360" w:lineRule="auto"/>
        <w:ind w:firstLine="560"/>
        <w:rPr>
          <w:rFonts w:ascii="宋体"/>
        </w:rPr>
      </w:pPr>
      <w:r>
        <w:rPr>
          <w:rFonts w:hint="eastAsia" w:ascii="宋体"/>
        </w:rPr>
        <w:t>该站建立健全了安全生产责任制、安全生产规章制度和安全操作规程，执行情况较好。</w:t>
      </w:r>
    </w:p>
    <w:p w14:paraId="751FD914">
      <w:pPr>
        <w:pStyle w:val="8"/>
        <w:widowControl w:val="0"/>
        <w:spacing w:line="360" w:lineRule="auto"/>
        <w:ind w:firstLine="560"/>
        <w:rPr>
          <w:rFonts w:ascii="宋体"/>
        </w:rPr>
      </w:pPr>
      <w:r>
        <w:rPr>
          <w:rFonts w:hint="eastAsia" w:ascii="宋体"/>
        </w:rPr>
        <w:t>该站现有员工</w:t>
      </w:r>
      <w:r>
        <w:rPr>
          <w:rFonts w:hint="eastAsia" w:ascii="宋体"/>
          <w:lang w:val="en-US" w:eastAsia="zh-CN"/>
        </w:rPr>
        <w:t>9</w:t>
      </w:r>
      <w:r>
        <w:rPr>
          <w:rFonts w:hint="eastAsia" w:ascii="宋体"/>
        </w:rPr>
        <w:t>人，按规定持证上岗。该加油站成立了以主要负责人为安全第一责任人的安全生产领导小组，同时成立了义务消防队。主要负责人和安全员经过安全培训，各项安全管理制度基本健全，有生产经营单位生产事故应急预案，并定期进行应急救援演练。该加油站消防器材配备齐全，加油站配备了35kg推车式干粉灭火器2具，</w:t>
      </w:r>
      <w:r>
        <w:rPr>
          <w:rFonts w:hint="eastAsia" w:ascii="宋体"/>
          <w:lang w:val="en-US" w:eastAsia="zh-CN"/>
        </w:rPr>
        <w:t>8</w:t>
      </w:r>
      <w:r>
        <w:rPr>
          <w:rFonts w:hint="eastAsia" w:ascii="宋体"/>
        </w:rPr>
        <w:t>kg手提式干粉灭火器</w:t>
      </w:r>
      <w:r>
        <w:rPr>
          <w:rFonts w:hint="eastAsia" w:ascii="宋体"/>
          <w:lang w:val="en-US" w:eastAsia="zh-CN"/>
        </w:rPr>
        <w:t>8</w:t>
      </w:r>
      <w:r>
        <w:rPr>
          <w:rFonts w:hint="eastAsia" w:ascii="宋体"/>
        </w:rPr>
        <w:t>具,CO</w:t>
      </w:r>
      <w:r>
        <w:rPr>
          <w:rFonts w:hint="eastAsia" w:ascii="宋体"/>
          <w:vertAlign w:val="subscript"/>
        </w:rPr>
        <w:t>2</w:t>
      </w:r>
      <w:r>
        <w:rPr>
          <w:rFonts w:hint="eastAsia" w:ascii="宋体"/>
        </w:rPr>
        <w:t>灭火器2具，灭火毯</w:t>
      </w:r>
      <w:r>
        <w:rPr>
          <w:rFonts w:hint="eastAsia" w:ascii="宋体"/>
          <w:lang w:val="en-US" w:eastAsia="zh-CN"/>
        </w:rPr>
        <w:t>6</w:t>
      </w:r>
      <w:r>
        <w:rPr>
          <w:rFonts w:hint="eastAsia" w:ascii="宋体"/>
        </w:rPr>
        <w:t>块，消防锨2把，消防桶2个，消防沙池</w:t>
      </w:r>
      <w:r>
        <w:rPr>
          <w:rFonts w:hint="eastAsia" w:ascii="宋体"/>
          <w:lang w:val="en-US" w:eastAsia="zh-CN"/>
        </w:rPr>
        <w:t>4</w:t>
      </w:r>
      <w:r>
        <w:rPr>
          <w:rFonts w:hint="eastAsia" w:ascii="宋体"/>
        </w:rPr>
        <w:t>m</w:t>
      </w:r>
      <w:r>
        <w:rPr>
          <w:rFonts w:hint="eastAsia" w:ascii="宋体"/>
          <w:vertAlign w:val="superscript"/>
        </w:rPr>
        <w:t>3</w:t>
      </w:r>
      <w:r>
        <w:rPr>
          <w:rFonts w:hint="eastAsia" w:ascii="宋体"/>
        </w:rPr>
        <w:t>。</w:t>
      </w:r>
    </w:p>
    <w:p w14:paraId="61D7B825">
      <w:pPr>
        <w:pStyle w:val="8"/>
        <w:widowControl w:val="0"/>
        <w:spacing w:line="360" w:lineRule="auto"/>
        <w:ind w:firstLine="560"/>
        <w:rPr>
          <w:rFonts w:ascii="宋体"/>
        </w:rPr>
      </w:pPr>
      <w:r>
        <w:rPr>
          <w:rFonts w:hint="eastAsia" w:ascii="宋体"/>
        </w:rPr>
        <w:t>该加油站按功能分区布置，有油罐区、加油区、站房，布置较合理。</w:t>
      </w:r>
    </w:p>
    <w:p w14:paraId="2BC0423A">
      <w:pPr>
        <w:pStyle w:val="8"/>
        <w:widowControl w:val="0"/>
        <w:spacing w:line="360" w:lineRule="auto"/>
        <w:ind w:firstLine="560"/>
        <w:rPr>
          <w:rFonts w:ascii="宋体"/>
        </w:rPr>
      </w:pPr>
      <w:r>
        <w:rPr>
          <w:rFonts w:hint="eastAsia" w:ascii="宋体"/>
        </w:rPr>
        <w:t>站房地上</w:t>
      </w:r>
      <w:r>
        <w:rPr>
          <w:rFonts w:hint="eastAsia" w:ascii="宋体"/>
          <w:lang w:val="en-US" w:eastAsia="zh-CN"/>
        </w:rPr>
        <w:t>一</w:t>
      </w:r>
      <w:r>
        <w:rPr>
          <w:rFonts w:hint="eastAsia" w:ascii="宋体"/>
        </w:rPr>
        <w:t>层（砖混），罩棚为钢架结构。</w:t>
      </w:r>
      <w:r>
        <w:rPr>
          <w:rFonts w:ascii="宋体"/>
        </w:rPr>
        <w:t>该站基本情况见下表2.1-2。</w:t>
      </w:r>
      <w:r>
        <w:rPr>
          <w:rFonts w:hint="eastAsia" w:ascii="宋体"/>
        </w:rPr>
        <w:t xml:space="preserve">                                                                                                                                                                                                                                                                                                                                                                                                                                                                                                                                                                                                                                                                                                                                                                                                                                                                                                                                                                                                                                                                                                                                                                                                                                                                                                                                                                                                                                                                                                                                                                                                                                                                                                                                                                                                                                                                                                                                                                                                                                                                                                                                                                                                                                                                                                                                                                                                                                                                                                                                                                                                                                                                                                                                                                                                                                                                                                                                                                                                                                                                                                                                                                                                                                                                                                                                                                  </w:t>
      </w:r>
    </w:p>
    <w:p w14:paraId="09B97C4C">
      <w:pPr>
        <w:pStyle w:val="10"/>
        <w:widowControl w:val="0"/>
        <w:outlineLvl w:val="9"/>
        <w:rPr>
          <w:rFonts w:ascii="黑体" w:hAnsi="黑体"/>
        </w:rPr>
      </w:pPr>
      <w:r>
        <w:rPr>
          <w:rFonts w:ascii="黑体" w:hAnsi="黑体"/>
        </w:rPr>
        <w:t>表2.1-2 加油站基本情况表</w:t>
      </w:r>
    </w:p>
    <w:tbl>
      <w:tblPr>
        <w:tblStyle w:val="3"/>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57" w:type="dxa"/>
          <w:left w:w="108" w:type="dxa"/>
          <w:bottom w:w="57" w:type="dxa"/>
          <w:right w:w="108" w:type="dxa"/>
        </w:tblCellMar>
      </w:tblPr>
      <w:tblGrid>
        <w:gridCol w:w="1480"/>
        <w:gridCol w:w="1481"/>
        <w:gridCol w:w="996"/>
        <w:gridCol w:w="129"/>
        <w:gridCol w:w="1325"/>
        <w:gridCol w:w="195"/>
        <w:gridCol w:w="1323"/>
        <w:gridCol w:w="1148"/>
        <w:gridCol w:w="169"/>
        <w:gridCol w:w="1381"/>
      </w:tblGrid>
      <w:tr w14:paraId="7365D4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80" w:hRule="atLeast"/>
          <w:jc w:val="center"/>
        </w:trPr>
        <w:tc>
          <w:tcPr>
            <w:tcW w:w="769" w:type="pct"/>
            <w:vAlign w:val="center"/>
          </w:tcPr>
          <w:p w14:paraId="2BE21F31">
            <w:pPr>
              <w:pStyle w:val="11"/>
              <w:widowControl w:val="0"/>
              <w:spacing w:line="360" w:lineRule="auto"/>
              <w:rPr>
                <w:rFonts w:ascii="宋体" w:hAnsi="宋体" w:cs="宋体"/>
              </w:rPr>
            </w:pPr>
            <w:r>
              <w:rPr>
                <w:rFonts w:hint="eastAsia" w:ascii="宋体" w:hAnsi="宋体" w:cs="宋体"/>
              </w:rPr>
              <w:t>企业名称</w:t>
            </w:r>
          </w:p>
        </w:tc>
        <w:tc>
          <w:tcPr>
            <w:tcW w:w="4230" w:type="pct"/>
            <w:gridSpan w:val="9"/>
            <w:vAlign w:val="center"/>
          </w:tcPr>
          <w:p w14:paraId="1CD35B64">
            <w:pPr>
              <w:pStyle w:val="11"/>
              <w:widowControl w:val="0"/>
              <w:spacing w:line="360" w:lineRule="auto"/>
              <w:rPr>
                <w:rFonts w:ascii="宋体" w:hAnsi="宋体" w:cs="宋体"/>
              </w:rPr>
            </w:pPr>
            <w:r>
              <w:rPr>
                <w:rFonts w:hint="eastAsia" w:ascii="宋体" w:hAnsi="宋体" w:cs="宋体"/>
                <w:lang w:val="en-US" w:eastAsia="zh-CN"/>
              </w:rPr>
              <w:t>新泰市谷里镇后北村</w:t>
            </w:r>
            <w:r>
              <w:rPr>
                <w:rFonts w:hint="eastAsia" w:ascii="宋体" w:hAnsi="宋体" w:cs="宋体"/>
              </w:rPr>
              <w:t>加油站</w:t>
            </w:r>
          </w:p>
        </w:tc>
      </w:tr>
      <w:tr w14:paraId="49A901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jc w:val="center"/>
        </w:trPr>
        <w:tc>
          <w:tcPr>
            <w:tcW w:w="769" w:type="pct"/>
            <w:vAlign w:val="center"/>
          </w:tcPr>
          <w:p w14:paraId="24A2D07D">
            <w:pPr>
              <w:pStyle w:val="11"/>
              <w:widowControl w:val="0"/>
              <w:spacing w:line="360" w:lineRule="auto"/>
              <w:rPr>
                <w:rFonts w:ascii="宋体" w:hAnsi="宋体" w:cs="宋体"/>
              </w:rPr>
            </w:pPr>
            <w:r>
              <w:rPr>
                <w:rFonts w:hint="eastAsia" w:ascii="宋体" w:hAnsi="宋体" w:cs="宋体"/>
              </w:rPr>
              <w:t>注册地址</w:t>
            </w:r>
          </w:p>
        </w:tc>
        <w:tc>
          <w:tcPr>
            <w:tcW w:w="4230" w:type="pct"/>
            <w:gridSpan w:val="9"/>
            <w:vAlign w:val="center"/>
          </w:tcPr>
          <w:p w14:paraId="15250E79">
            <w:pPr>
              <w:pStyle w:val="11"/>
              <w:widowControl w:val="0"/>
              <w:spacing w:line="360" w:lineRule="auto"/>
              <w:rPr>
                <w:rFonts w:hint="default" w:ascii="宋体" w:hAnsi="宋体" w:eastAsia="宋体" w:cs="宋体"/>
                <w:lang w:val="en-US" w:eastAsia="zh-CN"/>
              </w:rPr>
            </w:pPr>
            <w:r>
              <w:rPr>
                <w:rFonts w:hint="eastAsia" w:ascii="宋体" w:hAnsi="宋体" w:cs="宋体"/>
                <w:lang w:val="en-US" w:eastAsia="zh-CN"/>
              </w:rPr>
              <w:t>谷里镇后北佐村</w:t>
            </w:r>
          </w:p>
        </w:tc>
      </w:tr>
      <w:tr w14:paraId="56C44F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jc w:val="center"/>
        </w:trPr>
        <w:tc>
          <w:tcPr>
            <w:tcW w:w="769" w:type="pct"/>
            <w:vAlign w:val="center"/>
          </w:tcPr>
          <w:p w14:paraId="73A14D5C">
            <w:pPr>
              <w:pStyle w:val="11"/>
              <w:widowControl w:val="0"/>
              <w:spacing w:line="360" w:lineRule="auto"/>
              <w:rPr>
                <w:rFonts w:ascii="宋体" w:hAnsi="宋体" w:cs="宋体"/>
              </w:rPr>
            </w:pPr>
            <w:r>
              <w:rPr>
                <w:rFonts w:hint="eastAsia" w:ascii="宋体" w:hAnsi="宋体" w:cs="宋体"/>
              </w:rPr>
              <w:t>电话</w:t>
            </w:r>
          </w:p>
        </w:tc>
        <w:tc>
          <w:tcPr>
            <w:tcW w:w="1286" w:type="pct"/>
            <w:gridSpan w:val="2"/>
            <w:vAlign w:val="center"/>
          </w:tcPr>
          <w:p w14:paraId="0E21B836">
            <w:pPr>
              <w:pStyle w:val="11"/>
              <w:widowControl w:val="0"/>
              <w:spacing w:line="360" w:lineRule="auto"/>
              <w:rPr>
                <w:rFonts w:hint="default" w:ascii="宋体" w:hAnsi="宋体" w:eastAsia="宋体" w:cs="宋体"/>
                <w:lang w:val="en-US" w:eastAsia="zh-CN"/>
              </w:rPr>
            </w:pPr>
            <w:r>
              <w:rPr>
                <w:rFonts w:hint="eastAsia" w:ascii="宋体" w:hAnsi="宋体" w:cs="宋体"/>
                <w:lang w:val="en-US" w:eastAsia="zh-CN"/>
              </w:rPr>
              <w:t>15853867336</w:t>
            </w:r>
          </w:p>
        </w:tc>
        <w:tc>
          <w:tcPr>
            <w:tcW w:w="855" w:type="pct"/>
            <w:gridSpan w:val="3"/>
            <w:vAlign w:val="center"/>
          </w:tcPr>
          <w:p w14:paraId="3EA4B7C6">
            <w:pPr>
              <w:pStyle w:val="11"/>
              <w:widowControl w:val="0"/>
              <w:spacing w:line="360" w:lineRule="auto"/>
              <w:rPr>
                <w:rFonts w:ascii="宋体" w:hAnsi="宋体" w:cs="宋体"/>
              </w:rPr>
            </w:pPr>
            <w:r>
              <w:rPr>
                <w:rFonts w:hint="eastAsia" w:ascii="宋体" w:hAnsi="宋体" w:cs="宋体"/>
              </w:rPr>
              <w:t>传 真</w:t>
            </w:r>
          </w:p>
        </w:tc>
        <w:tc>
          <w:tcPr>
            <w:tcW w:w="687" w:type="pct"/>
            <w:vAlign w:val="center"/>
          </w:tcPr>
          <w:p w14:paraId="502AFDB2">
            <w:pPr>
              <w:pStyle w:val="11"/>
              <w:widowControl w:val="0"/>
              <w:spacing w:line="360" w:lineRule="auto"/>
              <w:rPr>
                <w:rFonts w:ascii="宋体" w:hAnsi="宋体" w:cs="宋体"/>
              </w:rPr>
            </w:pPr>
            <w:r>
              <w:rPr>
                <w:rFonts w:hint="eastAsia" w:ascii="宋体" w:hAnsi="宋体" w:cs="宋体"/>
              </w:rPr>
              <w:t>—</w:t>
            </w:r>
          </w:p>
        </w:tc>
        <w:tc>
          <w:tcPr>
            <w:tcW w:w="596" w:type="pct"/>
            <w:vAlign w:val="center"/>
          </w:tcPr>
          <w:p w14:paraId="1C537C8B">
            <w:pPr>
              <w:pStyle w:val="11"/>
              <w:widowControl w:val="0"/>
              <w:spacing w:line="360" w:lineRule="auto"/>
              <w:rPr>
                <w:rFonts w:ascii="宋体" w:hAnsi="宋体" w:cs="宋体"/>
              </w:rPr>
            </w:pPr>
            <w:r>
              <w:rPr>
                <w:rFonts w:hint="eastAsia" w:ascii="宋体" w:hAnsi="宋体" w:cs="宋体"/>
              </w:rPr>
              <w:t>邮政编码</w:t>
            </w:r>
          </w:p>
        </w:tc>
        <w:tc>
          <w:tcPr>
            <w:tcW w:w="805" w:type="pct"/>
            <w:gridSpan w:val="2"/>
            <w:vAlign w:val="center"/>
          </w:tcPr>
          <w:p w14:paraId="49DDA308">
            <w:pPr>
              <w:pStyle w:val="11"/>
              <w:widowControl w:val="0"/>
              <w:spacing w:line="360" w:lineRule="auto"/>
              <w:rPr>
                <w:rFonts w:hint="default" w:ascii="宋体" w:hAnsi="宋体" w:eastAsia="宋体" w:cs="宋体"/>
                <w:lang w:val="en-US" w:eastAsia="zh-CN"/>
              </w:rPr>
            </w:pPr>
            <w:r>
              <w:rPr>
                <w:rFonts w:hint="eastAsia" w:ascii="宋体" w:hAnsi="宋体" w:cs="宋体"/>
              </w:rPr>
              <w:t>271</w:t>
            </w:r>
            <w:r>
              <w:rPr>
                <w:rFonts w:hint="eastAsia" w:ascii="宋体" w:hAnsi="宋体" w:cs="宋体"/>
                <w:lang w:val="en-US" w:eastAsia="zh-CN"/>
              </w:rPr>
              <w:t>200</w:t>
            </w:r>
          </w:p>
        </w:tc>
      </w:tr>
      <w:tr w14:paraId="1CAC65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jc w:val="center"/>
        </w:trPr>
        <w:tc>
          <w:tcPr>
            <w:tcW w:w="769" w:type="pct"/>
            <w:vAlign w:val="center"/>
          </w:tcPr>
          <w:p w14:paraId="441CB467">
            <w:pPr>
              <w:pStyle w:val="11"/>
              <w:widowControl w:val="0"/>
              <w:spacing w:line="360" w:lineRule="auto"/>
              <w:rPr>
                <w:rFonts w:ascii="宋体" w:hAnsi="宋体" w:cs="宋体"/>
              </w:rPr>
            </w:pPr>
            <w:r>
              <w:rPr>
                <w:rFonts w:hint="eastAsia" w:ascii="宋体" w:hAnsi="宋体" w:cs="宋体"/>
              </w:rPr>
              <w:t>经营产品</w:t>
            </w:r>
          </w:p>
        </w:tc>
        <w:tc>
          <w:tcPr>
            <w:tcW w:w="4230" w:type="pct"/>
            <w:gridSpan w:val="9"/>
            <w:vAlign w:val="center"/>
          </w:tcPr>
          <w:p w14:paraId="1C41A039">
            <w:pPr>
              <w:pStyle w:val="11"/>
              <w:widowControl w:val="0"/>
              <w:spacing w:line="360" w:lineRule="auto"/>
              <w:rPr>
                <w:rFonts w:ascii="宋体" w:hAnsi="宋体" w:cs="宋体"/>
              </w:rPr>
            </w:pPr>
            <w:r>
              <w:rPr>
                <w:rFonts w:hint="eastAsia" w:ascii="宋体" w:hAnsi="宋体" w:cs="宋体"/>
              </w:rPr>
              <w:t>汽油（乙醇汽油）、柴油</w:t>
            </w:r>
          </w:p>
        </w:tc>
      </w:tr>
      <w:tr w14:paraId="1695ED6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jc w:val="center"/>
        </w:trPr>
        <w:tc>
          <w:tcPr>
            <w:tcW w:w="769" w:type="pct"/>
            <w:vAlign w:val="center"/>
          </w:tcPr>
          <w:p w14:paraId="1CB156B9">
            <w:pPr>
              <w:pStyle w:val="11"/>
              <w:widowControl w:val="0"/>
              <w:spacing w:line="360" w:lineRule="auto"/>
              <w:rPr>
                <w:rFonts w:ascii="宋体" w:hAnsi="宋体" w:cs="宋体"/>
              </w:rPr>
            </w:pPr>
            <w:r>
              <w:rPr>
                <w:rFonts w:hint="eastAsia" w:ascii="宋体" w:hAnsi="宋体" w:cs="宋体"/>
              </w:rPr>
              <w:t>登记机关</w:t>
            </w:r>
          </w:p>
        </w:tc>
        <w:tc>
          <w:tcPr>
            <w:tcW w:w="4230" w:type="pct"/>
            <w:gridSpan w:val="9"/>
            <w:vAlign w:val="center"/>
          </w:tcPr>
          <w:p w14:paraId="5A58AA9B">
            <w:pPr>
              <w:pStyle w:val="11"/>
              <w:widowControl w:val="0"/>
              <w:spacing w:line="360" w:lineRule="auto"/>
              <w:rPr>
                <w:rFonts w:hint="default" w:ascii="宋体" w:hAnsi="宋体" w:eastAsia="宋体" w:cs="宋体"/>
                <w:lang w:val="en-US" w:eastAsia="zh-CN"/>
              </w:rPr>
            </w:pPr>
            <w:r>
              <w:rPr>
                <w:rFonts w:hint="eastAsia" w:ascii="宋体" w:hAnsi="宋体" w:cs="宋体"/>
                <w:lang w:val="en-US" w:eastAsia="zh-CN"/>
              </w:rPr>
              <w:t>新泰市行政审批服务局</w:t>
            </w:r>
          </w:p>
        </w:tc>
      </w:tr>
      <w:tr w14:paraId="2F0023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jc w:val="center"/>
        </w:trPr>
        <w:tc>
          <w:tcPr>
            <w:tcW w:w="769" w:type="pct"/>
            <w:vAlign w:val="center"/>
          </w:tcPr>
          <w:p w14:paraId="10C05964">
            <w:pPr>
              <w:pStyle w:val="11"/>
              <w:widowControl w:val="0"/>
              <w:spacing w:line="360" w:lineRule="auto"/>
              <w:rPr>
                <w:rFonts w:ascii="宋体" w:hAnsi="宋体" w:cs="宋体"/>
              </w:rPr>
            </w:pPr>
            <w:r>
              <w:rPr>
                <w:rFonts w:hint="eastAsia" w:ascii="宋体" w:hAnsi="宋体" w:cs="宋体"/>
              </w:rPr>
              <w:t>法人</w:t>
            </w:r>
            <w:r>
              <w:rPr>
                <w:rStyle w:val="5"/>
                <w:rFonts w:hint="eastAsia"/>
              </w:rPr>
              <w:t>代表</w:t>
            </w:r>
          </w:p>
        </w:tc>
        <w:tc>
          <w:tcPr>
            <w:tcW w:w="2041" w:type="pct"/>
            <w:gridSpan w:val="4"/>
            <w:vAlign w:val="center"/>
          </w:tcPr>
          <w:p w14:paraId="3E31F8D1">
            <w:pPr>
              <w:pStyle w:val="11"/>
              <w:widowControl w:val="0"/>
              <w:spacing w:line="360" w:lineRule="auto"/>
              <w:rPr>
                <w:rFonts w:hint="eastAsia" w:ascii="宋体" w:hAnsi="宋体" w:eastAsia="宋体" w:cs="宋体"/>
                <w:lang w:eastAsia="zh-CN"/>
              </w:rPr>
            </w:pPr>
            <w:r>
              <w:rPr>
                <w:rFonts w:hint="eastAsia" w:ascii="宋体" w:hAnsi="宋体" w:cs="宋体"/>
                <w:lang w:val="en-US" w:eastAsia="zh-CN"/>
              </w:rPr>
              <w:t>孟强</w:t>
            </w:r>
          </w:p>
        </w:tc>
        <w:tc>
          <w:tcPr>
            <w:tcW w:w="787" w:type="pct"/>
            <w:gridSpan w:val="2"/>
            <w:vAlign w:val="center"/>
          </w:tcPr>
          <w:p w14:paraId="1E233934">
            <w:pPr>
              <w:pStyle w:val="11"/>
              <w:widowControl w:val="0"/>
              <w:spacing w:line="360" w:lineRule="auto"/>
              <w:rPr>
                <w:rFonts w:ascii="宋体" w:hAnsi="宋体" w:cs="宋体"/>
              </w:rPr>
            </w:pPr>
            <w:r>
              <w:rPr>
                <w:rFonts w:hint="eastAsia" w:ascii="宋体" w:hAnsi="宋体" w:cs="宋体"/>
              </w:rPr>
              <w:t>站长</w:t>
            </w:r>
          </w:p>
        </w:tc>
        <w:tc>
          <w:tcPr>
            <w:tcW w:w="1401" w:type="pct"/>
            <w:gridSpan w:val="3"/>
            <w:vAlign w:val="center"/>
          </w:tcPr>
          <w:p w14:paraId="48563A1C">
            <w:pPr>
              <w:pStyle w:val="11"/>
              <w:widowControl w:val="0"/>
              <w:spacing w:line="360" w:lineRule="auto"/>
              <w:rPr>
                <w:rFonts w:hint="eastAsia" w:ascii="宋体" w:hAnsi="宋体" w:eastAsia="宋体" w:cs="宋体"/>
                <w:lang w:eastAsia="zh-CN"/>
              </w:rPr>
            </w:pPr>
            <w:r>
              <w:rPr>
                <w:rFonts w:hint="eastAsia" w:ascii="宋体" w:hAnsi="宋体" w:cs="宋体"/>
                <w:lang w:val="en-US" w:eastAsia="zh-CN"/>
              </w:rPr>
              <w:t>孟强</w:t>
            </w:r>
          </w:p>
        </w:tc>
      </w:tr>
      <w:tr w14:paraId="793B7C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jc w:val="center"/>
        </w:trPr>
        <w:tc>
          <w:tcPr>
            <w:tcW w:w="769" w:type="pct"/>
            <w:vAlign w:val="center"/>
          </w:tcPr>
          <w:p w14:paraId="335281D7">
            <w:pPr>
              <w:pStyle w:val="11"/>
              <w:widowControl w:val="0"/>
              <w:spacing w:line="360" w:lineRule="auto"/>
              <w:rPr>
                <w:rFonts w:ascii="宋体" w:hAnsi="宋体" w:cs="宋体"/>
              </w:rPr>
            </w:pPr>
            <w:r>
              <w:rPr>
                <w:rFonts w:hint="eastAsia" w:ascii="宋体" w:hAnsi="宋体" w:cs="宋体"/>
              </w:rPr>
              <w:t>职工人数</w:t>
            </w:r>
          </w:p>
        </w:tc>
        <w:tc>
          <w:tcPr>
            <w:tcW w:w="769" w:type="pct"/>
            <w:vAlign w:val="center"/>
          </w:tcPr>
          <w:p w14:paraId="7F4BDEAE">
            <w:pPr>
              <w:pStyle w:val="11"/>
              <w:widowControl w:val="0"/>
              <w:spacing w:line="360" w:lineRule="auto"/>
              <w:rPr>
                <w:rFonts w:ascii="宋体" w:hAnsi="宋体" w:cs="宋体"/>
              </w:rPr>
            </w:pPr>
            <w:r>
              <w:rPr>
                <w:rFonts w:hint="eastAsia" w:ascii="宋体" w:hAnsi="宋体" w:cs="宋体"/>
                <w:lang w:val="en-US" w:eastAsia="zh-CN"/>
              </w:rPr>
              <w:t>9</w:t>
            </w:r>
            <w:r>
              <w:rPr>
                <w:rFonts w:hint="eastAsia" w:ascii="宋体" w:hAnsi="宋体" w:cs="宋体"/>
              </w:rPr>
              <w:t>人</w:t>
            </w:r>
          </w:p>
        </w:tc>
        <w:tc>
          <w:tcPr>
            <w:tcW w:w="1271" w:type="pct"/>
            <w:gridSpan w:val="3"/>
            <w:vAlign w:val="center"/>
          </w:tcPr>
          <w:p w14:paraId="1CAAC7A7">
            <w:pPr>
              <w:pStyle w:val="11"/>
              <w:widowControl w:val="0"/>
              <w:spacing w:line="360" w:lineRule="auto"/>
              <w:rPr>
                <w:rFonts w:ascii="宋体" w:hAnsi="宋体" w:cs="宋体"/>
              </w:rPr>
            </w:pPr>
            <w:r>
              <w:rPr>
                <w:rFonts w:hint="eastAsia" w:ascii="宋体" w:hAnsi="宋体" w:cs="宋体"/>
              </w:rPr>
              <w:t>站长</w:t>
            </w:r>
          </w:p>
        </w:tc>
        <w:tc>
          <w:tcPr>
            <w:tcW w:w="787" w:type="pct"/>
            <w:gridSpan w:val="2"/>
            <w:vAlign w:val="center"/>
          </w:tcPr>
          <w:p w14:paraId="5EBA10AE">
            <w:pPr>
              <w:pStyle w:val="11"/>
              <w:widowControl w:val="0"/>
              <w:spacing w:line="360" w:lineRule="auto"/>
              <w:rPr>
                <w:rFonts w:ascii="宋体" w:hAnsi="宋体" w:cs="宋体"/>
              </w:rPr>
            </w:pPr>
            <w:r>
              <w:rPr>
                <w:rFonts w:hint="eastAsia" w:ascii="宋体" w:hAnsi="宋体" w:cs="宋体"/>
              </w:rPr>
              <w:t>1</w:t>
            </w:r>
          </w:p>
        </w:tc>
        <w:tc>
          <w:tcPr>
            <w:tcW w:w="596" w:type="pct"/>
            <w:vAlign w:val="center"/>
          </w:tcPr>
          <w:p w14:paraId="231EDA33">
            <w:pPr>
              <w:pStyle w:val="11"/>
              <w:widowControl w:val="0"/>
              <w:spacing w:line="360" w:lineRule="auto"/>
              <w:rPr>
                <w:rFonts w:ascii="宋体" w:hAnsi="宋体" w:cs="宋体"/>
              </w:rPr>
            </w:pPr>
            <w:r>
              <w:rPr>
                <w:rFonts w:hint="eastAsia" w:ascii="宋体" w:hAnsi="宋体" w:cs="宋体"/>
              </w:rPr>
              <w:t>安全员</w:t>
            </w:r>
          </w:p>
        </w:tc>
        <w:tc>
          <w:tcPr>
            <w:tcW w:w="805" w:type="pct"/>
            <w:gridSpan w:val="2"/>
            <w:vAlign w:val="center"/>
          </w:tcPr>
          <w:p w14:paraId="71A59B16">
            <w:pPr>
              <w:pStyle w:val="11"/>
              <w:widowControl w:val="0"/>
              <w:spacing w:line="360" w:lineRule="auto"/>
              <w:rPr>
                <w:rFonts w:ascii="宋体" w:hAnsi="宋体" w:cs="宋体"/>
              </w:rPr>
            </w:pPr>
            <w:r>
              <w:rPr>
                <w:rFonts w:hint="eastAsia" w:ascii="宋体" w:hAnsi="宋体" w:cs="宋体"/>
              </w:rPr>
              <w:t>1</w:t>
            </w:r>
          </w:p>
        </w:tc>
      </w:tr>
      <w:tr w14:paraId="2298F4C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69" w:type="pct"/>
            <w:vMerge w:val="restart"/>
            <w:vAlign w:val="center"/>
          </w:tcPr>
          <w:p w14:paraId="7A25F3E0">
            <w:pPr>
              <w:pStyle w:val="11"/>
              <w:widowControl w:val="0"/>
              <w:spacing w:line="360" w:lineRule="auto"/>
              <w:rPr>
                <w:rFonts w:ascii="宋体" w:hAnsi="宋体" w:cs="宋体"/>
                <w:bCs/>
              </w:rPr>
            </w:pPr>
            <w:r>
              <w:rPr>
                <w:rFonts w:hint="eastAsia" w:ascii="宋体" w:hAnsi="宋体" w:cs="宋体"/>
                <w:bCs/>
              </w:rPr>
              <w:t>经营场所</w:t>
            </w:r>
          </w:p>
        </w:tc>
        <w:tc>
          <w:tcPr>
            <w:tcW w:w="769" w:type="pct"/>
            <w:vAlign w:val="center"/>
          </w:tcPr>
          <w:p w14:paraId="1D09E3AB">
            <w:pPr>
              <w:pStyle w:val="11"/>
              <w:widowControl w:val="0"/>
              <w:spacing w:line="360" w:lineRule="auto"/>
              <w:rPr>
                <w:rFonts w:ascii="宋体" w:hAnsi="宋体" w:cs="宋体"/>
                <w:bCs/>
              </w:rPr>
            </w:pPr>
            <w:r>
              <w:rPr>
                <w:rFonts w:hint="eastAsia" w:ascii="宋体" w:hAnsi="宋体" w:cs="宋体"/>
                <w:bCs/>
              </w:rPr>
              <w:t>产  权</w:t>
            </w:r>
          </w:p>
        </w:tc>
        <w:tc>
          <w:tcPr>
            <w:tcW w:w="3460" w:type="pct"/>
            <w:gridSpan w:val="8"/>
            <w:vAlign w:val="center"/>
          </w:tcPr>
          <w:p w14:paraId="1F6FE460">
            <w:pPr>
              <w:pStyle w:val="11"/>
              <w:widowControl w:val="0"/>
              <w:spacing w:line="360" w:lineRule="auto"/>
              <w:rPr>
                <w:rFonts w:ascii="宋体" w:hAnsi="宋体" w:cs="宋体"/>
                <w:bCs/>
              </w:rPr>
            </w:pPr>
            <w:r>
              <w:rPr>
                <w:rFonts w:hint="eastAsia" w:ascii="宋体" w:hAnsi="宋体" w:cs="宋体"/>
                <w:bCs/>
              </w:rPr>
              <w:t>自有□租赁☑承包□</w:t>
            </w:r>
          </w:p>
        </w:tc>
      </w:tr>
      <w:tr w14:paraId="4FACDC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69" w:type="pct"/>
            <w:vMerge w:val="continue"/>
            <w:vAlign w:val="center"/>
          </w:tcPr>
          <w:p w14:paraId="60F2DE64">
            <w:pPr>
              <w:pStyle w:val="11"/>
              <w:widowControl w:val="0"/>
              <w:spacing w:line="360" w:lineRule="auto"/>
              <w:rPr>
                <w:rFonts w:ascii="宋体" w:hAnsi="宋体" w:cs="宋体"/>
                <w:bCs/>
              </w:rPr>
            </w:pPr>
          </w:p>
        </w:tc>
        <w:tc>
          <w:tcPr>
            <w:tcW w:w="769" w:type="pct"/>
            <w:vAlign w:val="center"/>
          </w:tcPr>
          <w:p w14:paraId="604A7E57">
            <w:pPr>
              <w:pStyle w:val="11"/>
              <w:widowControl w:val="0"/>
              <w:spacing w:line="360" w:lineRule="auto"/>
              <w:rPr>
                <w:rFonts w:ascii="宋体" w:hAnsi="宋体" w:cs="宋体"/>
                <w:bCs/>
              </w:rPr>
            </w:pPr>
            <w:r>
              <w:rPr>
                <w:rFonts w:hint="eastAsia" w:ascii="宋体" w:hAnsi="宋体" w:cs="宋体"/>
                <w:bCs/>
              </w:rPr>
              <w:t>站房面积</w:t>
            </w:r>
          </w:p>
        </w:tc>
        <w:tc>
          <w:tcPr>
            <w:tcW w:w="584" w:type="pct"/>
            <w:gridSpan w:val="2"/>
            <w:vAlign w:val="center"/>
          </w:tcPr>
          <w:p w14:paraId="24DDAB8B">
            <w:pPr>
              <w:pStyle w:val="11"/>
              <w:widowControl w:val="0"/>
              <w:spacing w:line="360" w:lineRule="auto"/>
              <w:rPr>
                <w:rFonts w:ascii="宋体" w:hAnsi="宋体" w:cs="宋体"/>
                <w:highlight w:val="yellow"/>
              </w:rPr>
            </w:pPr>
            <w:r>
              <w:rPr>
                <w:rFonts w:hint="eastAsia" w:ascii="宋体" w:hAnsi="宋体" w:cs="宋体"/>
                <w:bCs/>
                <w:lang w:val="en-US" w:eastAsia="zh-CN"/>
              </w:rPr>
              <w:t>111</w:t>
            </w:r>
            <w:r>
              <w:rPr>
                <w:rFonts w:hint="eastAsia" w:ascii="宋体" w:hAnsi="宋体" w:cs="宋体"/>
                <w:bCs/>
              </w:rPr>
              <w:t>m</w:t>
            </w:r>
            <w:r>
              <w:rPr>
                <w:rFonts w:hint="eastAsia" w:ascii="宋体" w:hAnsi="宋体" w:cs="宋体"/>
                <w:bCs/>
                <w:vertAlign w:val="superscript"/>
              </w:rPr>
              <w:t>2</w:t>
            </w:r>
          </w:p>
        </w:tc>
        <w:tc>
          <w:tcPr>
            <w:tcW w:w="687" w:type="pct"/>
            <w:vAlign w:val="center"/>
          </w:tcPr>
          <w:p w14:paraId="670AC876">
            <w:pPr>
              <w:pStyle w:val="11"/>
              <w:widowControl w:val="0"/>
              <w:spacing w:line="360" w:lineRule="auto"/>
              <w:rPr>
                <w:rFonts w:ascii="宋体" w:hAnsi="宋体" w:cs="宋体"/>
              </w:rPr>
            </w:pPr>
            <w:r>
              <w:rPr>
                <w:rFonts w:hint="eastAsia" w:ascii="宋体" w:hAnsi="宋体" w:cs="宋体"/>
              </w:rPr>
              <w:t>罩棚面积</w:t>
            </w:r>
          </w:p>
        </w:tc>
        <w:tc>
          <w:tcPr>
            <w:tcW w:w="787" w:type="pct"/>
            <w:gridSpan w:val="2"/>
            <w:vAlign w:val="center"/>
          </w:tcPr>
          <w:p w14:paraId="23B95652">
            <w:pPr>
              <w:pStyle w:val="11"/>
              <w:widowControl w:val="0"/>
              <w:spacing w:line="360" w:lineRule="auto"/>
              <w:rPr>
                <w:rFonts w:ascii="宋体" w:hAnsi="宋体" w:cs="宋体"/>
              </w:rPr>
            </w:pPr>
            <w:r>
              <w:rPr>
                <w:rFonts w:hint="eastAsia" w:ascii="宋体" w:hAnsi="宋体" w:cs="宋体"/>
                <w:bCs/>
                <w:lang w:val="en-US" w:eastAsia="zh-CN"/>
              </w:rPr>
              <w:t>672</w:t>
            </w:r>
            <w:r>
              <w:rPr>
                <w:rFonts w:hint="eastAsia" w:ascii="宋体" w:hAnsi="宋体" w:cs="宋体"/>
                <w:bCs/>
              </w:rPr>
              <w:t>m</w:t>
            </w:r>
            <w:r>
              <w:rPr>
                <w:rFonts w:hint="eastAsia" w:ascii="宋体" w:hAnsi="宋体" w:cs="宋体"/>
                <w:bCs/>
                <w:vertAlign w:val="superscript"/>
              </w:rPr>
              <w:t>2</w:t>
            </w:r>
          </w:p>
        </w:tc>
        <w:tc>
          <w:tcPr>
            <w:tcW w:w="596" w:type="pct"/>
            <w:vAlign w:val="center"/>
          </w:tcPr>
          <w:p w14:paraId="18316082">
            <w:pPr>
              <w:pStyle w:val="11"/>
              <w:widowControl w:val="0"/>
              <w:spacing w:line="360" w:lineRule="auto"/>
              <w:rPr>
                <w:rFonts w:ascii="宋体" w:hAnsi="宋体" w:cs="宋体"/>
              </w:rPr>
            </w:pPr>
            <w:r>
              <w:rPr>
                <w:rFonts w:hint="eastAsia" w:ascii="宋体" w:hAnsi="宋体" w:cs="宋体"/>
              </w:rPr>
              <w:t>罩棚高度</w:t>
            </w:r>
          </w:p>
        </w:tc>
        <w:tc>
          <w:tcPr>
            <w:tcW w:w="805" w:type="pct"/>
            <w:gridSpan w:val="2"/>
            <w:vAlign w:val="center"/>
          </w:tcPr>
          <w:p w14:paraId="3950111A">
            <w:pPr>
              <w:pStyle w:val="11"/>
              <w:widowControl w:val="0"/>
              <w:spacing w:line="360" w:lineRule="auto"/>
              <w:rPr>
                <w:rFonts w:ascii="宋体" w:hAnsi="宋体" w:cs="宋体"/>
              </w:rPr>
            </w:pPr>
            <w:r>
              <w:rPr>
                <w:rFonts w:hint="eastAsia" w:ascii="宋体" w:hAnsi="宋体" w:cs="宋体"/>
                <w:lang w:val="en-US" w:eastAsia="zh-CN"/>
              </w:rPr>
              <w:t>7.8</w:t>
            </w:r>
            <w:r>
              <w:rPr>
                <w:rFonts w:hint="eastAsia" w:ascii="宋体" w:hAnsi="宋体" w:cs="宋体"/>
              </w:rPr>
              <w:t>m</w:t>
            </w:r>
          </w:p>
        </w:tc>
      </w:tr>
      <w:tr w14:paraId="4046F5C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69" w:type="pct"/>
            <w:vMerge w:val="restart"/>
            <w:vAlign w:val="center"/>
          </w:tcPr>
          <w:p w14:paraId="35A438B4">
            <w:pPr>
              <w:pStyle w:val="11"/>
              <w:widowControl w:val="0"/>
              <w:spacing w:line="360" w:lineRule="auto"/>
              <w:rPr>
                <w:rFonts w:ascii="宋体" w:hAnsi="宋体" w:cs="宋体"/>
                <w:bCs/>
              </w:rPr>
            </w:pPr>
            <w:r>
              <w:rPr>
                <w:rFonts w:hint="eastAsia" w:ascii="宋体" w:hAnsi="宋体" w:cs="宋体"/>
                <w:bCs/>
              </w:rPr>
              <w:t>储存设施</w:t>
            </w:r>
          </w:p>
        </w:tc>
        <w:tc>
          <w:tcPr>
            <w:tcW w:w="769" w:type="pct"/>
            <w:vAlign w:val="center"/>
          </w:tcPr>
          <w:p w14:paraId="78202B9A">
            <w:pPr>
              <w:pStyle w:val="11"/>
              <w:widowControl w:val="0"/>
              <w:spacing w:line="360" w:lineRule="auto"/>
              <w:rPr>
                <w:rFonts w:ascii="宋体" w:hAnsi="宋体" w:cs="宋体"/>
                <w:bCs/>
              </w:rPr>
            </w:pPr>
            <w:r>
              <w:rPr>
                <w:rFonts w:hint="eastAsia" w:ascii="宋体" w:hAnsi="宋体" w:cs="宋体"/>
                <w:bCs/>
              </w:rPr>
              <w:t>汽油</w:t>
            </w:r>
          </w:p>
        </w:tc>
        <w:tc>
          <w:tcPr>
            <w:tcW w:w="2059" w:type="pct"/>
            <w:gridSpan w:val="5"/>
            <w:vAlign w:val="center"/>
          </w:tcPr>
          <w:p w14:paraId="0535A776">
            <w:pPr>
              <w:pStyle w:val="11"/>
              <w:widowControl w:val="0"/>
              <w:spacing w:line="360" w:lineRule="auto"/>
              <w:rPr>
                <w:rFonts w:ascii="宋体" w:hAnsi="宋体" w:cs="宋体"/>
                <w:bCs/>
              </w:rPr>
            </w:pPr>
            <w:r>
              <w:rPr>
                <w:rFonts w:hint="eastAsia" w:ascii="宋体" w:hAnsi="宋体" w:cs="宋体"/>
                <w:bCs/>
              </w:rPr>
              <w:t>共</w:t>
            </w:r>
            <w:r>
              <w:rPr>
                <w:rFonts w:hint="eastAsia" w:ascii="宋体" w:hAnsi="宋体" w:cs="宋体"/>
                <w:bCs/>
                <w:lang w:val="en-US" w:eastAsia="zh-CN"/>
              </w:rPr>
              <w:t>2</w:t>
            </w:r>
            <w:r>
              <w:rPr>
                <w:rFonts w:hint="eastAsia" w:ascii="宋体" w:hAnsi="宋体" w:cs="宋体"/>
                <w:bCs/>
              </w:rPr>
              <w:t>个汽油罐，每罐容积为</w:t>
            </w:r>
            <w:r>
              <w:rPr>
                <w:rFonts w:hint="eastAsia" w:ascii="宋体" w:hAnsi="宋体" w:cs="宋体"/>
                <w:bCs/>
                <w:u w:val="single"/>
              </w:rPr>
              <w:t xml:space="preserve"> </w:t>
            </w:r>
            <w:r>
              <w:rPr>
                <w:rFonts w:hint="eastAsia" w:ascii="宋体" w:hAnsi="宋体" w:cs="宋体"/>
                <w:bCs/>
                <w:u w:val="single"/>
                <w:lang w:val="en-US" w:eastAsia="zh-CN"/>
              </w:rPr>
              <w:t>3</w:t>
            </w:r>
            <w:r>
              <w:rPr>
                <w:rFonts w:hint="eastAsia" w:ascii="宋体" w:hAnsi="宋体" w:cs="宋体"/>
                <w:bCs/>
                <w:u w:val="single"/>
              </w:rPr>
              <w:t xml:space="preserve">0 </w:t>
            </w:r>
            <w:r>
              <w:rPr>
                <w:rFonts w:hint="eastAsia" w:ascii="宋体" w:hAnsi="宋体" w:cs="宋体"/>
                <w:bCs/>
              </w:rPr>
              <w:t>m³</w:t>
            </w:r>
          </w:p>
        </w:tc>
        <w:tc>
          <w:tcPr>
            <w:tcW w:w="1401" w:type="pct"/>
            <w:gridSpan w:val="3"/>
            <w:vMerge w:val="restart"/>
            <w:vAlign w:val="center"/>
          </w:tcPr>
          <w:p w14:paraId="76661EB9">
            <w:pPr>
              <w:pStyle w:val="11"/>
              <w:widowControl w:val="0"/>
              <w:snapToGrid w:val="0"/>
              <w:spacing w:line="240" w:lineRule="auto"/>
              <w:rPr>
                <w:rStyle w:val="5"/>
                <w:rFonts w:ascii="宋体" w:hAnsi="宋体" w:cs="宋体"/>
              </w:rPr>
            </w:pPr>
            <w:r>
              <w:rPr>
                <w:rFonts w:hint="eastAsia" w:ascii="宋体" w:hAnsi="宋体" w:cs="宋体"/>
                <w:bCs/>
              </w:rPr>
              <w:t>是否为双层罐：是☑否□</w:t>
            </w:r>
          </w:p>
          <w:p w14:paraId="46B59CA3">
            <w:pPr>
              <w:pStyle w:val="11"/>
              <w:widowControl w:val="0"/>
              <w:snapToGrid w:val="0"/>
              <w:spacing w:line="240" w:lineRule="auto"/>
              <w:rPr>
                <w:rFonts w:ascii="宋体" w:hAnsi="宋体" w:cs="宋体"/>
                <w:vertAlign w:val="superscript"/>
              </w:rPr>
            </w:pPr>
            <w:r>
              <w:rPr>
                <w:rFonts w:hint="eastAsia" w:ascii="宋体" w:hAnsi="宋体" w:cs="宋体"/>
              </w:rPr>
              <w:t>储存能力：</w:t>
            </w:r>
            <w:r>
              <w:rPr>
                <w:rFonts w:hint="eastAsia" w:ascii="宋体" w:hAnsi="宋体" w:cs="宋体"/>
                <w:lang w:val="en-US" w:eastAsia="zh-CN"/>
              </w:rPr>
              <w:t>120</w:t>
            </w:r>
            <w:r>
              <w:rPr>
                <w:rFonts w:hint="eastAsia" w:ascii="宋体" w:hAnsi="宋体" w:cs="宋体"/>
                <w:bCs/>
              </w:rPr>
              <w:t>m</w:t>
            </w:r>
            <w:r>
              <w:rPr>
                <w:rFonts w:hint="eastAsia" w:ascii="宋体" w:hAnsi="宋体" w:cs="宋体"/>
                <w:vertAlign w:val="superscript"/>
              </w:rPr>
              <w:t>3</w:t>
            </w:r>
          </w:p>
        </w:tc>
      </w:tr>
      <w:tr w14:paraId="57B513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69" w:type="pct"/>
            <w:vMerge w:val="continue"/>
            <w:vAlign w:val="center"/>
          </w:tcPr>
          <w:p w14:paraId="7D4EAD19">
            <w:pPr>
              <w:pStyle w:val="11"/>
              <w:widowControl w:val="0"/>
              <w:spacing w:line="360" w:lineRule="auto"/>
              <w:rPr>
                <w:rFonts w:ascii="宋体" w:hAnsi="宋体" w:cs="宋体"/>
                <w:bCs/>
              </w:rPr>
            </w:pPr>
          </w:p>
        </w:tc>
        <w:tc>
          <w:tcPr>
            <w:tcW w:w="769" w:type="pct"/>
            <w:vAlign w:val="center"/>
          </w:tcPr>
          <w:p w14:paraId="4E539CEE">
            <w:pPr>
              <w:pStyle w:val="11"/>
              <w:widowControl w:val="0"/>
              <w:spacing w:line="360" w:lineRule="auto"/>
              <w:rPr>
                <w:rFonts w:ascii="宋体" w:hAnsi="宋体" w:cs="宋体"/>
                <w:bCs/>
              </w:rPr>
            </w:pPr>
            <w:r>
              <w:rPr>
                <w:rFonts w:hint="eastAsia" w:ascii="宋体" w:hAnsi="宋体" w:cs="宋体"/>
                <w:bCs/>
              </w:rPr>
              <w:t>柴油</w:t>
            </w:r>
          </w:p>
        </w:tc>
        <w:tc>
          <w:tcPr>
            <w:tcW w:w="2059" w:type="pct"/>
            <w:gridSpan w:val="5"/>
            <w:vAlign w:val="center"/>
          </w:tcPr>
          <w:p w14:paraId="78B8323F">
            <w:pPr>
              <w:pStyle w:val="11"/>
              <w:widowControl w:val="0"/>
              <w:spacing w:line="360" w:lineRule="auto"/>
              <w:rPr>
                <w:rFonts w:ascii="宋体" w:hAnsi="宋体" w:cs="宋体"/>
                <w:bCs/>
              </w:rPr>
            </w:pPr>
            <w:r>
              <w:rPr>
                <w:rFonts w:hint="eastAsia" w:ascii="宋体" w:hAnsi="宋体" w:cs="宋体"/>
                <w:bCs/>
              </w:rPr>
              <w:t>共</w:t>
            </w:r>
            <w:r>
              <w:rPr>
                <w:rFonts w:hint="eastAsia" w:ascii="宋体" w:hAnsi="宋体" w:cs="宋体"/>
                <w:bCs/>
                <w:lang w:val="en-US" w:eastAsia="zh-CN"/>
              </w:rPr>
              <w:t>2</w:t>
            </w:r>
            <w:r>
              <w:rPr>
                <w:rFonts w:hint="eastAsia" w:ascii="宋体" w:hAnsi="宋体" w:cs="宋体"/>
                <w:bCs/>
              </w:rPr>
              <w:t>个柴油罐，每罐容积为</w:t>
            </w:r>
            <w:r>
              <w:rPr>
                <w:rFonts w:hint="eastAsia" w:ascii="宋体" w:hAnsi="宋体" w:cs="宋体"/>
                <w:bCs/>
                <w:u w:val="single"/>
              </w:rPr>
              <w:t xml:space="preserve"> 30 </w:t>
            </w:r>
            <w:r>
              <w:rPr>
                <w:rFonts w:hint="eastAsia" w:ascii="宋体" w:hAnsi="宋体" w:cs="宋体"/>
                <w:bCs/>
              </w:rPr>
              <w:t>m³</w:t>
            </w:r>
          </w:p>
        </w:tc>
        <w:tc>
          <w:tcPr>
            <w:tcW w:w="1401" w:type="pct"/>
            <w:gridSpan w:val="3"/>
            <w:vMerge w:val="continue"/>
            <w:vAlign w:val="center"/>
          </w:tcPr>
          <w:p w14:paraId="4D6C8848">
            <w:pPr>
              <w:pStyle w:val="11"/>
              <w:widowControl w:val="0"/>
              <w:spacing w:line="360" w:lineRule="auto"/>
              <w:rPr>
                <w:rFonts w:ascii="宋体" w:hAnsi="宋体" w:cs="宋体"/>
                <w:bCs/>
              </w:rPr>
            </w:pPr>
          </w:p>
        </w:tc>
      </w:tr>
      <w:tr w14:paraId="112AD3C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69" w:type="pct"/>
            <w:vMerge w:val="restart"/>
            <w:vAlign w:val="center"/>
          </w:tcPr>
          <w:p w14:paraId="58B97A60">
            <w:pPr>
              <w:pStyle w:val="11"/>
              <w:widowControl w:val="0"/>
              <w:spacing w:line="360" w:lineRule="auto"/>
              <w:rPr>
                <w:rFonts w:ascii="宋体" w:hAnsi="宋体" w:cs="宋体"/>
                <w:bCs/>
              </w:rPr>
            </w:pPr>
            <w:r>
              <w:rPr>
                <w:rFonts w:hint="eastAsia" w:ascii="宋体" w:hAnsi="宋体" w:cs="宋体"/>
                <w:bCs/>
              </w:rPr>
              <w:t>加油设施</w:t>
            </w:r>
          </w:p>
        </w:tc>
        <w:tc>
          <w:tcPr>
            <w:tcW w:w="769" w:type="pct"/>
            <w:vAlign w:val="center"/>
          </w:tcPr>
          <w:p w14:paraId="5E989827">
            <w:pPr>
              <w:pStyle w:val="11"/>
              <w:widowControl w:val="0"/>
              <w:spacing w:line="360" w:lineRule="auto"/>
              <w:rPr>
                <w:rFonts w:ascii="宋体" w:hAnsi="宋体" w:cs="宋体"/>
                <w:bCs/>
              </w:rPr>
            </w:pPr>
            <w:r>
              <w:rPr>
                <w:rFonts w:hint="eastAsia" w:ascii="宋体" w:hAnsi="宋体" w:cs="宋体"/>
                <w:bCs/>
              </w:rPr>
              <w:t>加油机</w:t>
            </w:r>
          </w:p>
        </w:tc>
        <w:tc>
          <w:tcPr>
            <w:tcW w:w="3460" w:type="pct"/>
            <w:gridSpan w:val="8"/>
            <w:vAlign w:val="center"/>
          </w:tcPr>
          <w:p w14:paraId="1F1203DC">
            <w:pPr>
              <w:pStyle w:val="11"/>
              <w:widowControl w:val="0"/>
              <w:spacing w:line="360" w:lineRule="auto"/>
              <w:rPr>
                <w:rFonts w:ascii="宋体" w:hAnsi="宋体" w:cs="宋体"/>
                <w:bCs/>
              </w:rPr>
            </w:pPr>
            <w:r>
              <w:rPr>
                <w:rFonts w:hint="eastAsia" w:ascii="宋体" w:hAnsi="宋体" w:cs="宋体"/>
                <w:bCs/>
                <w:lang w:val="en-US" w:eastAsia="zh-CN"/>
              </w:rPr>
              <w:t>6</w:t>
            </w:r>
            <w:r>
              <w:rPr>
                <w:rFonts w:hint="eastAsia" w:ascii="宋体" w:hAnsi="宋体" w:cs="宋体"/>
                <w:bCs/>
              </w:rPr>
              <w:t>台双枪</w:t>
            </w:r>
            <w:r>
              <w:rPr>
                <w:rFonts w:hint="eastAsia" w:ascii="宋体" w:hAnsi="宋体" w:cs="宋体"/>
                <w:bCs/>
                <w:lang w:val="en-US" w:eastAsia="zh-CN"/>
              </w:rPr>
              <w:t>单油品</w:t>
            </w:r>
            <w:r>
              <w:rPr>
                <w:rFonts w:hint="eastAsia" w:ascii="宋体" w:hAnsi="宋体" w:cs="宋体"/>
                <w:bCs/>
              </w:rPr>
              <w:t>加油机</w:t>
            </w:r>
          </w:p>
        </w:tc>
      </w:tr>
      <w:tr w14:paraId="69F73B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69" w:type="pct"/>
            <w:vMerge w:val="continue"/>
            <w:vAlign w:val="center"/>
          </w:tcPr>
          <w:p w14:paraId="330B76B9">
            <w:pPr>
              <w:pStyle w:val="11"/>
              <w:widowControl w:val="0"/>
              <w:spacing w:line="360" w:lineRule="auto"/>
              <w:rPr>
                <w:rFonts w:ascii="宋体" w:hAnsi="宋体" w:cs="宋体"/>
                <w:bCs/>
              </w:rPr>
            </w:pPr>
          </w:p>
        </w:tc>
        <w:tc>
          <w:tcPr>
            <w:tcW w:w="769" w:type="pct"/>
            <w:vAlign w:val="center"/>
          </w:tcPr>
          <w:p w14:paraId="59D67398">
            <w:pPr>
              <w:pStyle w:val="11"/>
              <w:widowControl w:val="0"/>
              <w:spacing w:line="360" w:lineRule="auto"/>
              <w:rPr>
                <w:rFonts w:ascii="宋体" w:hAnsi="宋体" w:cs="宋体"/>
                <w:bCs/>
              </w:rPr>
            </w:pPr>
            <w:r>
              <w:rPr>
                <w:rFonts w:hint="eastAsia" w:ascii="宋体" w:hAnsi="宋体" w:cs="宋体"/>
                <w:bCs/>
              </w:rPr>
              <w:t>加油方式</w:t>
            </w:r>
          </w:p>
        </w:tc>
        <w:tc>
          <w:tcPr>
            <w:tcW w:w="3460" w:type="pct"/>
            <w:gridSpan w:val="8"/>
            <w:vAlign w:val="center"/>
          </w:tcPr>
          <w:p w14:paraId="131D66A3">
            <w:pPr>
              <w:pStyle w:val="11"/>
              <w:widowControl w:val="0"/>
              <w:spacing w:line="360" w:lineRule="auto"/>
              <w:rPr>
                <w:rFonts w:hint="eastAsia" w:ascii="宋体" w:hAnsi="宋体" w:eastAsia="宋体" w:cs="宋体"/>
                <w:bCs/>
                <w:lang w:eastAsia="zh-CN"/>
              </w:rPr>
            </w:pPr>
            <w:r>
              <w:rPr>
                <w:rFonts w:hint="eastAsia" w:ascii="宋体" w:hAnsi="宋体" w:cs="宋体"/>
                <w:bCs/>
              </w:rPr>
              <w:t>潜油泵式</w:t>
            </w:r>
            <w:r>
              <w:rPr>
                <w:rFonts w:hint="eastAsia" w:ascii="宋体" w:hAnsi="宋体" w:cs="宋体"/>
                <w:bCs/>
                <w:lang w:eastAsia="zh-CN"/>
              </w:rPr>
              <w:t>□</w:t>
            </w:r>
            <w:r>
              <w:rPr>
                <w:rFonts w:hint="eastAsia" w:ascii="宋体" w:hAnsi="宋体" w:cs="宋体"/>
                <w:bCs/>
              </w:rPr>
              <w:t xml:space="preserve"> 自吸式</w:t>
            </w:r>
            <w:r>
              <w:rPr>
                <w:rFonts w:hint="eastAsia" w:ascii="宋体" w:hAnsi="宋体" w:cs="宋体"/>
                <w:bCs/>
                <w:lang w:eastAsia="zh-CN"/>
              </w:rPr>
              <w:t>☑</w:t>
            </w:r>
          </w:p>
        </w:tc>
      </w:tr>
      <w:tr w14:paraId="2AD7DE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69" w:type="pct"/>
            <w:vMerge w:val="restart"/>
            <w:vAlign w:val="center"/>
          </w:tcPr>
          <w:p w14:paraId="4CB577BA">
            <w:pPr>
              <w:pStyle w:val="11"/>
              <w:widowControl w:val="0"/>
              <w:spacing w:line="360" w:lineRule="auto"/>
              <w:rPr>
                <w:rFonts w:ascii="宋体" w:hAnsi="宋体" w:cs="宋体"/>
                <w:bCs/>
              </w:rPr>
            </w:pPr>
            <w:r>
              <w:rPr>
                <w:rFonts w:hint="eastAsia" w:ascii="宋体" w:hAnsi="宋体" w:cs="宋体"/>
                <w:bCs/>
              </w:rPr>
              <w:t>消防设施</w:t>
            </w:r>
          </w:p>
        </w:tc>
        <w:tc>
          <w:tcPr>
            <w:tcW w:w="769" w:type="pct"/>
            <w:vAlign w:val="center"/>
          </w:tcPr>
          <w:p w14:paraId="68BF080A">
            <w:pPr>
              <w:pStyle w:val="11"/>
              <w:widowControl w:val="0"/>
              <w:spacing w:line="360" w:lineRule="auto"/>
              <w:rPr>
                <w:rFonts w:ascii="宋体" w:hAnsi="宋体" w:cs="宋体"/>
                <w:bCs/>
              </w:rPr>
            </w:pPr>
            <w:r>
              <w:rPr>
                <w:rFonts w:hint="eastAsia" w:ascii="宋体" w:hAnsi="宋体" w:cs="宋体"/>
                <w:bCs/>
              </w:rPr>
              <w:t>推车式35</w:t>
            </w:r>
            <w:r>
              <w:rPr>
                <w:rFonts w:hint="eastAsia" w:ascii="宋体" w:hAnsi="宋体" w:cs="宋体"/>
              </w:rPr>
              <w:t xml:space="preserve"> kg</w:t>
            </w:r>
            <w:r>
              <w:rPr>
                <w:rFonts w:hint="eastAsia" w:ascii="宋体" w:hAnsi="宋体" w:cs="宋体"/>
                <w:bCs/>
              </w:rPr>
              <w:t>干粉灭火器</w:t>
            </w:r>
          </w:p>
        </w:tc>
        <w:tc>
          <w:tcPr>
            <w:tcW w:w="584" w:type="pct"/>
            <w:gridSpan w:val="2"/>
            <w:vAlign w:val="center"/>
          </w:tcPr>
          <w:p w14:paraId="03A44FF0">
            <w:pPr>
              <w:pStyle w:val="11"/>
              <w:widowControl w:val="0"/>
              <w:spacing w:line="360" w:lineRule="auto"/>
              <w:rPr>
                <w:rFonts w:ascii="宋体" w:hAnsi="宋体" w:cs="宋体"/>
                <w:bCs/>
              </w:rPr>
            </w:pPr>
            <w:r>
              <w:rPr>
                <w:rFonts w:hint="eastAsia" w:ascii="宋体" w:hAnsi="宋体" w:cs="宋体"/>
                <w:bCs/>
              </w:rPr>
              <w:t>2具</w:t>
            </w:r>
          </w:p>
        </w:tc>
        <w:tc>
          <w:tcPr>
            <w:tcW w:w="687" w:type="pct"/>
            <w:vAlign w:val="center"/>
          </w:tcPr>
          <w:p w14:paraId="519B57AB">
            <w:pPr>
              <w:pStyle w:val="11"/>
              <w:widowControl w:val="0"/>
              <w:spacing w:line="360" w:lineRule="auto"/>
              <w:rPr>
                <w:rFonts w:ascii="宋体" w:hAnsi="宋体" w:cs="宋体"/>
                <w:bCs/>
              </w:rPr>
            </w:pPr>
            <w:r>
              <w:rPr>
                <w:rFonts w:hint="eastAsia" w:ascii="宋体" w:hAnsi="宋体" w:cs="宋体"/>
                <w:bCs/>
                <w:lang w:val="en-US" w:eastAsia="zh-CN"/>
              </w:rPr>
              <w:t>8</w:t>
            </w:r>
            <w:r>
              <w:rPr>
                <w:rFonts w:hint="eastAsia" w:ascii="宋体" w:hAnsi="宋体" w:cs="宋体"/>
                <w:bCs/>
              </w:rPr>
              <w:t>kg手提式干粉灭火器</w:t>
            </w:r>
          </w:p>
        </w:tc>
        <w:tc>
          <w:tcPr>
            <w:tcW w:w="787" w:type="pct"/>
            <w:gridSpan w:val="2"/>
            <w:vAlign w:val="center"/>
          </w:tcPr>
          <w:p w14:paraId="4F7F1EC6">
            <w:pPr>
              <w:pStyle w:val="11"/>
              <w:widowControl w:val="0"/>
              <w:spacing w:line="360" w:lineRule="auto"/>
              <w:rPr>
                <w:rFonts w:ascii="宋体" w:hAnsi="宋体" w:cs="宋体"/>
              </w:rPr>
            </w:pPr>
            <w:r>
              <w:rPr>
                <w:rFonts w:hint="eastAsia" w:ascii="宋体" w:hAnsi="宋体" w:cs="宋体"/>
                <w:lang w:val="en-US" w:eastAsia="zh-CN"/>
              </w:rPr>
              <w:t>8</w:t>
            </w:r>
            <w:r>
              <w:rPr>
                <w:rFonts w:hint="eastAsia" w:ascii="宋体" w:hAnsi="宋体" w:cs="宋体"/>
              </w:rPr>
              <w:t>具</w:t>
            </w:r>
          </w:p>
        </w:tc>
        <w:tc>
          <w:tcPr>
            <w:tcW w:w="684" w:type="pct"/>
            <w:gridSpan w:val="2"/>
            <w:vAlign w:val="center"/>
          </w:tcPr>
          <w:p w14:paraId="5ACC8219">
            <w:pPr>
              <w:pStyle w:val="11"/>
              <w:widowControl w:val="0"/>
              <w:spacing w:line="360" w:lineRule="auto"/>
              <w:rPr>
                <w:rFonts w:ascii="宋体" w:hAnsi="宋体" w:cs="宋体"/>
                <w:bCs/>
              </w:rPr>
            </w:pPr>
            <w:r>
              <w:rPr>
                <w:rFonts w:hint="eastAsia" w:ascii="宋体" w:hAnsi="宋体" w:cs="宋体"/>
                <w:bCs/>
              </w:rPr>
              <w:t>CO</w:t>
            </w:r>
            <w:r>
              <w:rPr>
                <w:rFonts w:hint="eastAsia" w:ascii="宋体" w:hAnsi="宋体" w:cs="宋体"/>
                <w:bCs/>
                <w:vertAlign w:val="subscript"/>
              </w:rPr>
              <w:t>2</w:t>
            </w:r>
            <w:r>
              <w:rPr>
                <w:rFonts w:hint="eastAsia" w:ascii="宋体" w:hAnsi="宋体" w:cs="宋体"/>
                <w:bCs/>
              </w:rPr>
              <w:t>灭火器</w:t>
            </w:r>
          </w:p>
        </w:tc>
        <w:tc>
          <w:tcPr>
            <w:tcW w:w="717" w:type="pct"/>
            <w:vAlign w:val="center"/>
          </w:tcPr>
          <w:p w14:paraId="72A7CFB2">
            <w:pPr>
              <w:pStyle w:val="11"/>
              <w:widowControl w:val="0"/>
              <w:spacing w:line="360" w:lineRule="auto"/>
              <w:rPr>
                <w:rFonts w:ascii="宋体" w:hAnsi="宋体" w:cs="宋体"/>
                <w:bCs/>
              </w:rPr>
            </w:pPr>
            <w:r>
              <w:rPr>
                <w:rFonts w:hint="eastAsia" w:ascii="宋体" w:hAnsi="宋体" w:cs="宋体"/>
                <w:bCs/>
                <w:lang w:val="en-US" w:eastAsia="zh-CN"/>
              </w:rPr>
              <w:t>2</w:t>
            </w:r>
            <w:r>
              <w:rPr>
                <w:rFonts w:hint="eastAsia" w:ascii="宋体" w:hAnsi="宋体" w:cs="宋体"/>
                <w:bCs/>
              </w:rPr>
              <w:t>具</w:t>
            </w:r>
          </w:p>
        </w:tc>
      </w:tr>
      <w:tr w14:paraId="6194C6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69" w:type="pct"/>
            <w:vMerge w:val="continue"/>
            <w:vAlign w:val="center"/>
          </w:tcPr>
          <w:p w14:paraId="36919AF3">
            <w:pPr>
              <w:pStyle w:val="11"/>
              <w:widowControl w:val="0"/>
              <w:spacing w:line="360" w:lineRule="auto"/>
              <w:rPr>
                <w:rFonts w:ascii="宋体" w:hAnsi="宋体" w:cs="宋体"/>
                <w:bCs/>
              </w:rPr>
            </w:pPr>
          </w:p>
        </w:tc>
        <w:tc>
          <w:tcPr>
            <w:tcW w:w="769" w:type="pct"/>
            <w:vAlign w:val="center"/>
          </w:tcPr>
          <w:p w14:paraId="0AF2215D">
            <w:pPr>
              <w:pStyle w:val="11"/>
              <w:widowControl w:val="0"/>
              <w:spacing w:line="360" w:lineRule="auto"/>
              <w:rPr>
                <w:rFonts w:ascii="宋体" w:hAnsi="宋体" w:cs="宋体"/>
                <w:bCs/>
              </w:rPr>
            </w:pPr>
            <w:r>
              <w:rPr>
                <w:rFonts w:hint="eastAsia" w:ascii="宋体" w:hAnsi="宋体" w:cs="宋体"/>
                <w:bCs/>
              </w:rPr>
              <w:t>灭火毯</w:t>
            </w:r>
          </w:p>
        </w:tc>
        <w:tc>
          <w:tcPr>
            <w:tcW w:w="584" w:type="pct"/>
            <w:gridSpan w:val="2"/>
            <w:vAlign w:val="center"/>
          </w:tcPr>
          <w:p w14:paraId="05F6B266">
            <w:pPr>
              <w:pStyle w:val="11"/>
              <w:widowControl w:val="0"/>
              <w:spacing w:line="360" w:lineRule="auto"/>
              <w:rPr>
                <w:rFonts w:hint="default" w:ascii="宋体" w:hAnsi="宋体" w:eastAsia="宋体" w:cs="宋体"/>
                <w:bCs/>
                <w:lang w:val="en-US" w:eastAsia="zh-CN"/>
              </w:rPr>
            </w:pPr>
            <w:r>
              <w:rPr>
                <w:rFonts w:hint="eastAsia" w:ascii="宋体" w:hAnsi="宋体" w:cs="宋体"/>
                <w:bCs/>
                <w:lang w:val="en-US" w:eastAsia="zh-CN"/>
              </w:rPr>
              <w:t>6块</w:t>
            </w:r>
          </w:p>
        </w:tc>
        <w:tc>
          <w:tcPr>
            <w:tcW w:w="687" w:type="pct"/>
            <w:vAlign w:val="center"/>
          </w:tcPr>
          <w:p w14:paraId="64269CB7">
            <w:pPr>
              <w:pStyle w:val="11"/>
              <w:widowControl w:val="0"/>
              <w:spacing w:line="360" w:lineRule="auto"/>
              <w:rPr>
                <w:rFonts w:ascii="宋体" w:hAnsi="宋体" w:cs="宋体"/>
                <w:bCs/>
              </w:rPr>
            </w:pPr>
            <w:r>
              <w:rPr>
                <w:rFonts w:hint="eastAsia" w:ascii="宋体" w:hAnsi="宋体" w:cs="宋体"/>
                <w:bCs/>
              </w:rPr>
              <w:t>消防锨</w:t>
            </w:r>
          </w:p>
        </w:tc>
        <w:tc>
          <w:tcPr>
            <w:tcW w:w="787" w:type="pct"/>
            <w:gridSpan w:val="2"/>
            <w:vAlign w:val="center"/>
          </w:tcPr>
          <w:p w14:paraId="3856F205">
            <w:pPr>
              <w:pStyle w:val="11"/>
              <w:widowControl w:val="0"/>
              <w:spacing w:line="360" w:lineRule="auto"/>
              <w:rPr>
                <w:rFonts w:ascii="宋体" w:hAnsi="宋体" w:cs="宋体"/>
                <w:bCs/>
              </w:rPr>
            </w:pPr>
            <w:r>
              <w:rPr>
                <w:rFonts w:hint="eastAsia" w:ascii="宋体" w:hAnsi="宋体" w:cs="宋体"/>
                <w:bCs/>
                <w:lang w:val="en-US" w:eastAsia="zh-CN"/>
              </w:rPr>
              <w:t>2</w:t>
            </w:r>
            <w:r>
              <w:rPr>
                <w:rFonts w:hint="eastAsia" w:ascii="宋体" w:hAnsi="宋体" w:cs="宋体"/>
                <w:bCs/>
              </w:rPr>
              <w:t>块</w:t>
            </w:r>
          </w:p>
        </w:tc>
        <w:tc>
          <w:tcPr>
            <w:tcW w:w="684" w:type="pct"/>
            <w:gridSpan w:val="2"/>
            <w:vAlign w:val="center"/>
          </w:tcPr>
          <w:p w14:paraId="7A8F85FA">
            <w:pPr>
              <w:pStyle w:val="11"/>
              <w:widowControl w:val="0"/>
              <w:spacing w:line="360" w:lineRule="auto"/>
              <w:rPr>
                <w:rFonts w:hint="eastAsia" w:ascii="宋体" w:hAnsi="宋体" w:eastAsia="宋体" w:cs="宋体"/>
                <w:bCs/>
                <w:lang w:val="en-US" w:eastAsia="zh-CN"/>
              </w:rPr>
            </w:pPr>
            <w:r>
              <w:rPr>
                <w:rFonts w:hint="eastAsia" w:ascii="宋体" w:hAnsi="宋体" w:cs="宋体"/>
                <w:bCs/>
                <w:lang w:val="en-US" w:eastAsia="zh-CN"/>
              </w:rPr>
              <w:t>消防桶</w:t>
            </w:r>
          </w:p>
        </w:tc>
        <w:tc>
          <w:tcPr>
            <w:tcW w:w="717" w:type="pct"/>
            <w:vAlign w:val="center"/>
          </w:tcPr>
          <w:p w14:paraId="6F13B1B1">
            <w:pPr>
              <w:pStyle w:val="11"/>
              <w:widowControl w:val="0"/>
              <w:spacing w:line="360" w:lineRule="auto"/>
              <w:rPr>
                <w:rFonts w:hint="default" w:ascii="宋体" w:hAnsi="宋体" w:eastAsia="宋体" w:cs="宋体"/>
                <w:bCs/>
                <w:lang w:val="en-US" w:eastAsia="zh-CN"/>
              </w:rPr>
            </w:pPr>
            <w:r>
              <w:rPr>
                <w:rFonts w:hint="eastAsia" w:ascii="宋体" w:hAnsi="宋体" w:cs="宋体"/>
                <w:bCs/>
                <w:lang w:val="en-US" w:eastAsia="zh-CN"/>
              </w:rPr>
              <w:t>2个</w:t>
            </w:r>
          </w:p>
        </w:tc>
      </w:tr>
      <w:tr w14:paraId="302386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57" w:type="dxa"/>
            <w:left w:w="108" w:type="dxa"/>
            <w:bottom w:w="57" w:type="dxa"/>
            <w:right w:w="108" w:type="dxa"/>
          </w:tblCellMar>
        </w:tblPrEx>
        <w:trPr>
          <w:trHeight w:val="454" w:hRule="atLeast"/>
          <w:jc w:val="center"/>
        </w:trPr>
        <w:tc>
          <w:tcPr>
            <w:tcW w:w="769" w:type="pct"/>
            <w:vMerge w:val="continue"/>
            <w:vAlign w:val="center"/>
          </w:tcPr>
          <w:p w14:paraId="238EA41D">
            <w:pPr>
              <w:pStyle w:val="11"/>
              <w:widowControl w:val="0"/>
              <w:spacing w:line="360" w:lineRule="auto"/>
              <w:rPr>
                <w:rFonts w:ascii="宋体" w:hAnsi="宋体" w:cs="宋体"/>
                <w:bCs/>
              </w:rPr>
            </w:pPr>
          </w:p>
        </w:tc>
        <w:tc>
          <w:tcPr>
            <w:tcW w:w="769" w:type="pct"/>
            <w:vAlign w:val="center"/>
          </w:tcPr>
          <w:p w14:paraId="323AC10E">
            <w:pPr>
              <w:pStyle w:val="11"/>
              <w:widowControl w:val="0"/>
              <w:spacing w:line="360" w:lineRule="auto"/>
              <w:rPr>
                <w:rFonts w:ascii="宋体" w:hAnsi="宋体" w:cs="宋体"/>
                <w:bCs/>
              </w:rPr>
            </w:pPr>
            <w:r>
              <w:rPr>
                <w:rFonts w:hint="eastAsia" w:ascii="宋体" w:hAnsi="宋体" w:cs="宋体"/>
                <w:bCs/>
              </w:rPr>
              <w:t>消防沙池</w:t>
            </w:r>
          </w:p>
        </w:tc>
        <w:tc>
          <w:tcPr>
            <w:tcW w:w="584" w:type="pct"/>
            <w:gridSpan w:val="2"/>
            <w:vAlign w:val="center"/>
          </w:tcPr>
          <w:p w14:paraId="130D0BBB">
            <w:pPr>
              <w:pStyle w:val="11"/>
              <w:widowControl w:val="0"/>
              <w:spacing w:line="360" w:lineRule="auto"/>
              <w:rPr>
                <w:rFonts w:ascii="宋体" w:hAnsi="宋体" w:cs="宋体"/>
                <w:bCs/>
              </w:rPr>
            </w:pPr>
            <w:r>
              <w:rPr>
                <w:rFonts w:hint="eastAsia" w:ascii="宋体" w:hAnsi="宋体" w:cs="宋体"/>
                <w:bCs/>
                <w:lang w:val="en-US" w:eastAsia="zh-CN"/>
              </w:rPr>
              <w:t>4</w:t>
            </w:r>
            <w:r>
              <w:rPr>
                <w:rFonts w:hint="eastAsia" w:ascii="宋体" w:hAnsi="宋体" w:cs="宋体"/>
                <w:bCs/>
              </w:rPr>
              <w:t>m</w:t>
            </w:r>
            <w:r>
              <w:rPr>
                <w:rFonts w:hint="eastAsia" w:ascii="宋体" w:hAnsi="宋体" w:cs="宋体"/>
                <w:bCs/>
                <w:vertAlign w:val="superscript"/>
              </w:rPr>
              <w:t>3</w:t>
            </w:r>
          </w:p>
        </w:tc>
        <w:tc>
          <w:tcPr>
            <w:tcW w:w="687" w:type="pct"/>
            <w:vAlign w:val="center"/>
          </w:tcPr>
          <w:p w14:paraId="7687D002">
            <w:pPr>
              <w:pStyle w:val="11"/>
              <w:widowControl w:val="0"/>
              <w:spacing w:line="360" w:lineRule="auto"/>
              <w:rPr>
                <w:rFonts w:ascii="宋体" w:hAnsi="宋体" w:cs="宋体"/>
                <w:bCs/>
              </w:rPr>
            </w:pPr>
          </w:p>
        </w:tc>
        <w:tc>
          <w:tcPr>
            <w:tcW w:w="787" w:type="pct"/>
            <w:gridSpan w:val="2"/>
            <w:vAlign w:val="center"/>
          </w:tcPr>
          <w:p w14:paraId="5343DD14">
            <w:pPr>
              <w:pStyle w:val="11"/>
              <w:widowControl w:val="0"/>
              <w:spacing w:line="360" w:lineRule="auto"/>
              <w:rPr>
                <w:rFonts w:ascii="宋体" w:hAnsi="宋体" w:cs="宋体"/>
                <w:bCs/>
              </w:rPr>
            </w:pPr>
          </w:p>
        </w:tc>
        <w:tc>
          <w:tcPr>
            <w:tcW w:w="684" w:type="pct"/>
            <w:gridSpan w:val="2"/>
            <w:vAlign w:val="center"/>
          </w:tcPr>
          <w:p w14:paraId="6D8527F2">
            <w:pPr>
              <w:pStyle w:val="11"/>
              <w:widowControl w:val="0"/>
              <w:spacing w:line="360" w:lineRule="auto"/>
              <w:rPr>
                <w:rFonts w:ascii="宋体" w:hAnsi="宋体" w:cs="宋体"/>
                <w:bCs/>
              </w:rPr>
            </w:pPr>
          </w:p>
        </w:tc>
        <w:tc>
          <w:tcPr>
            <w:tcW w:w="717" w:type="pct"/>
            <w:vAlign w:val="center"/>
          </w:tcPr>
          <w:p w14:paraId="285A6D65">
            <w:pPr>
              <w:pStyle w:val="11"/>
              <w:widowControl w:val="0"/>
              <w:spacing w:line="360" w:lineRule="auto"/>
              <w:rPr>
                <w:rFonts w:ascii="宋体" w:hAnsi="宋体" w:cs="宋体"/>
                <w:bCs/>
              </w:rPr>
            </w:pPr>
          </w:p>
        </w:tc>
      </w:tr>
    </w:tbl>
    <w:p w14:paraId="2D57A7E3">
      <w:pPr>
        <w:pStyle w:val="9"/>
        <w:widowControl w:val="0"/>
        <w:adjustRightInd w:val="0"/>
        <w:snapToGrid w:val="0"/>
        <w:spacing w:before="0" w:beforeLines="0" w:after="0" w:afterLines="0" w:line="360" w:lineRule="auto"/>
      </w:pPr>
      <w:bookmarkStart w:id="15" w:name="_Toc102633980"/>
      <w:bookmarkStart w:id="16" w:name="_Toc102633906"/>
      <w:bookmarkStart w:id="17" w:name="_Toc102634406"/>
      <w:bookmarkStart w:id="18" w:name="_Toc102634255"/>
      <w:r>
        <w:t>第四章 评价单元划分与评价方法选择</w:t>
      </w:r>
      <w:bookmarkEnd w:id="15"/>
      <w:bookmarkEnd w:id="16"/>
      <w:bookmarkEnd w:id="17"/>
      <w:bookmarkEnd w:id="18"/>
    </w:p>
    <w:p w14:paraId="16D06EEF">
      <w:pPr>
        <w:snapToGrid w:val="0"/>
        <w:spacing w:line="360" w:lineRule="auto"/>
        <w:jc w:val="center"/>
        <w:outlineLvl w:val="1"/>
        <w:rPr>
          <w:rFonts w:ascii="Calibri" w:hAnsi="Calibri" w:eastAsia="楷体_GB2312"/>
          <w:b/>
          <w:kern w:val="0"/>
          <w:sz w:val="32"/>
          <w:szCs w:val="20"/>
        </w:rPr>
      </w:pPr>
      <w:bookmarkStart w:id="19" w:name="_Toc7829"/>
      <w:bookmarkStart w:id="20" w:name="_Toc102633981"/>
      <w:bookmarkStart w:id="21" w:name="_Toc102633907"/>
      <w:bookmarkStart w:id="22" w:name="_Toc238007574"/>
      <w:bookmarkStart w:id="23" w:name="_Toc192907201"/>
      <w:bookmarkStart w:id="24" w:name="_Toc102634407"/>
      <w:bookmarkStart w:id="25" w:name="_Toc15033754"/>
      <w:bookmarkStart w:id="26" w:name="_Toc198026273"/>
      <w:bookmarkStart w:id="27" w:name="_Toc102634256"/>
      <w:bookmarkStart w:id="28" w:name="_Toc23543"/>
      <w:bookmarkStart w:id="29" w:name="_Toc272364536"/>
      <w:r>
        <w:rPr>
          <w:rFonts w:ascii="Calibri" w:hAnsi="Calibri" w:eastAsia="楷体_GB2312"/>
          <w:b/>
          <w:kern w:val="0"/>
          <w:sz w:val="32"/>
          <w:szCs w:val="20"/>
        </w:rPr>
        <w:t>第一节 评价单元的划分</w:t>
      </w:r>
      <w:bookmarkEnd w:id="19"/>
      <w:bookmarkEnd w:id="20"/>
      <w:bookmarkEnd w:id="21"/>
      <w:bookmarkEnd w:id="22"/>
      <w:bookmarkEnd w:id="23"/>
      <w:bookmarkEnd w:id="24"/>
      <w:bookmarkEnd w:id="25"/>
      <w:bookmarkEnd w:id="26"/>
      <w:bookmarkEnd w:id="27"/>
      <w:bookmarkEnd w:id="28"/>
      <w:bookmarkEnd w:id="29"/>
    </w:p>
    <w:p w14:paraId="553C7488">
      <w:pPr>
        <w:pStyle w:val="8"/>
        <w:widowControl w:val="0"/>
        <w:snapToGrid w:val="0"/>
        <w:spacing w:line="360" w:lineRule="auto"/>
        <w:ind w:firstLine="560"/>
        <w:rPr>
          <w:rFonts w:ascii="宋体"/>
        </w:rPr>
      </w:pPr>
      <w:r>
        <w:rPr>
          <w:rFonts w:ascii="宋体"/>
        </w:rPr>
        <w:t>划分评价单元时，一般以生产工艺、工艺装置、物料的特点和特征与危险有害因素的类别、分布有机结合起来进行划分，还可以按评价的要求将一个评价单元再划分为若干个子单元或更细致的单元，评价单元相对独立，具有明显的特征界限。下面是两种常用的评价单元划分原则和方法。</w:t>
      </w:r>
    </w:p>
    <w:p w14:paraId="0B4F579B">
      <w:pPr>
        <w:pStyle w:val="13"/>
        <w:widowControl w:val="0"/>
        <w:spacing w:line="360" w:lineRule="auto"/>
        <w:ind w:firstLine="560"/>
        <w:jc w:val="both"/>
      </w:pPr>
      <w:bookmarkStart w:id="30" w:name="_Toc102634257"/>
      <w:r>
        <w:rPr>
          <w:rFonts w:hint="eastAsia"/>
        </w:rPr>
        <w:t>一</w:t>
      </w:r>
      <w:r>
        <w:t>、以危险有害因素的类别为主划分评价单元</w:t>
      </w:r>
      <w:bookmarkEnd w:id="30"/>
    </w:p>
    <w:p w14:paraId="7DE092BF">
      <w:pPr>
        <w:pStyle w:val="8"/>
        <w:widowControl w:val="0"/>
        <w:spacing w:line="360" w:lineRule="auto"/>
        <w:ind w:firstLine="560"/>
        <w:rPr>
          <w:rFonts w:ascii="宋体"/>
        </w:rPr>
      </w:pPr>
      <w:r>
        <w:rPr>
          <w:rFonts w:hint="eastAsia" w:ascii="宋体"/>
        </w:rPr>
        <w:t>1、</w:t>
      </w:r>
      <w:r>
        <w:rPr>
          <w:rFonts w:ascii="宋体"/>
        </w:rPr>
        <w:t>对工艺方案、总体布置及自然条件、社会环境等影响系统的危险有害因素的分析和评价，宜将整个系统作为一个评价单元。</w:t>
      </w:r>
    </w:p>
    <w:p w14:paraId="2B6AA77E">
      <w:pPr>
        <w:pStyle w:val="8"/>
        <w:widowControl w:val="0"/>
        <w:spacing w:line="360" w:lineRule="auto"/>
        <w:ind w:firstLine="560"/>
        <w:rPr>
          <w:rFonts w:ascii="宋体"/>
        </w:rPr>
      </w:pPr>
      <w:r>
        <w:rPr>
          <w:rFonts w:hint="eastAsia" w:ascii="宋体"/>
        </w:rPr>
        <w:t>2、</w:t>
      </w:r>
      <w:r>
        <w:rPr>
          <w:rFonts w:ascii="宋体"/>
        </w:rPr>
        <w:t>将具有共性危险有害因素的场所和装置划分为一个评价单元。</w:t>
      </w:r>
    </w:p>
    <w:p w14:paraId="35A85B39">
      <w:pPr>
        <w:pStyle w:val="13"/>
        <w:widowControl w:val="0"/>
        <w:spacing w:line="360" w:lineRule="auto"/>
        <w:ind w:firstLine="560"/>
        <w:jc w:val="both"/>
      </w:pPr>
      <w:bookmarkStart w:id="31" w:name="_Toc102634258"/>
      <w:r>
        <w:rPr>
          <w:rFonts w:hint="eastAsia"/>
        </w:rPr>
        <w:t>二</w:t>
      </w:r>
      <w:r>
        <w:t>、以物质特征划分评价单元</w:t>
      </w:r>
      <w:bookmarkEnd w:id="31"/>
    </w:p>
    <w:p w14:paraId="16C07A5E">
      <w:pPr>
        <w:pStyle w:val="8"/>
        <w:widowControl w:val="0"/>
        <w:spacing w:line="360" w:lineRule="auto"/>
        <w:ind w:firstLine="560"/>
        <w:rPr>
          <w:rFonts w:ascii="宋体"/>
        </w:rPr>
      </w:pPr>
      <w:r>
        <w:rPr>
          <w:rFonts w:ascii="宋体"/>
        </w:rPr>
        <w:t>评价过程中常按装置工艺功能、布置的相对独立性、工艺条件及贮存、处理危险物质的潜在化学能、毒性和危险物质的数量等划分评价单元。</w:t>
      </w:r>
    </w:p>
    <w:p w14:paraId="712327C3">
      <w:pPr>
        <w:pStyle w:val="8"/>
        <w:widowControl w:val="0"/>
        <w:spacing w:line="360" w:lineRule="auto"/>
        <w:ind w:firstLine="560"/>
        <w:rPr>
          <w:rFonts w:ascii="宋体"/>
        </w:rPr>
      </w:pPr>
      <w:r>
        <w:rPr>
          <w:rFonts w:ascii="宋体"/>
        </w:rPr>
        <w:t>由于评价要求和目的不同，并且各类评价方法均有自身的特点，只要达到评价目的，评价单元的划分并不要求绝对一致。</w:t>
      </w:r>
    </w:p>
    <w:p w14:paraId="6CB945D8">
      <w:pPr>
        <w:pStyle w:val="8"/>
        <w:widowControl w:val="0"/>
        <w:spacing w:line="360" w:lineRule="auto"/>
        <w:ind w:firstLine="560"/>
        <w:rPr>
          <w:rFonts w:ascii="宋体"/>
        </w:rPr>
      </w:pPr>
      <w:r>
        <w:rPr>
          <w:rFonts w:ascii="宋体"/>
        </w:rPr>
        <w:t>根据上述常用的评价单元划分原则和方法，以及《安全评价通则》中关于安全评价报告主要内容和要求的规定结合该项目的特点和实际情况，将评价内容划分为以下</w:t>
      </w:r>
      <w:r>
        <w:rPr>
          <w:rFonts w:hint="eastAsia" w:ascii="宋体"/>
        </w:rPr>
        <w:t>五</w:t>
      </w:r>
      <w:r>
        <w:rPr>
          <w:rFonts w:ascii="宋体"/>
        </w:rPr>
        <w:t>个单元：</w:t>
      </w:r>
    </w:p>
    <w:p w14:paraId="1AB95FCA">
      <w:pPr>
        <w:adjustRightInd w:val="0"/>
        <w:snapToGrid w:val="0"/>
        <w:spacing w:line="360" w:lineRule="auto"/>
        <w:ind w:firstLine="560" w:firstLineChars="200"/>
        <w:rPr>
          <w:rFonts w:ascii="宋体"/>
          <w:sz w:val="28"/>
        </w:rPr>
      </w:pPr>
      <w:bookmarkStart w:id="32" w:name="_Toc238007575"/>
      <w:bookmarkStart w:id="33" w:name="_Toc102633908"/>
      <w:bookmarkStart w:id="34" w:name="_Toc24232"/>
      <w:bookmarkStart w:id="35" w:name="_Toc192907202"/>
      <w:bookmarkStart w:id="36" w:name="_Toc272364537"/>
      <w:bookmarkStart w:id="37" w:name="_Toc188079886"/>
      <w:bookmarkStart w:id="38" w:name="_Toc102634408"/>
      <w:bookmarkStart w:id="39" w:name="_Toc102633982"/>
      <w:bookmarkStart w:id="40" w:name="_Toc15033755"/>
      <w:bookmarkStart w:id="41" w:name="_Toc188080068"/>
      <w:bookmarkStart w:id="42" w:name="_Toc19785"/>
      <w:bookmarkStart w:id="43" w:name="_Toc102634259"/>
      <w:bookmarkStart w:id="44" w:name="_Toc198026274"/>
      <w:r>
        <w:rPr>
          <w:rFonts w:ascii="宋体"/>
          <w:sz w:val="28"/>
        </w:rPr>
        <w:t>1、安全管理；</w:t>
      </w:r>
    </w:p>
    <w:p w14:paraId="549C86A6">
      <w:pPr>
        <w:adjustRightInd w:val="0"/>
        <w:snapToGrid w:val="0"/>
        <w:spacing w:line="360" w:lineRule="auto"/>
        <w:ind w:firstLine="560" w:firstLineChars="200"/>
        <w:rPr>
          <w:rFonts w:ascii="宋体"/>
          <w:sz w:val="28"/>
        </w:rPr>
      </w:pPr>
      <w:r>
        <w:rPr>
          <w:rFonts w:ascii="宋体"/>
          <w:sz w:val="28"/>
        </w:rPr>
        <w:t>2、站址选择及总</w:t>
      </w:r>
      <w:r>
        <w:rPr>
          <w:rFonts w:hint="eastAsia" w:ascii="宋体"/>
          <w:sz w:val="28"/>
        </w:rPr>
        <w:t>平面</w:t>
      </w:r>
      <w:r>
        <w:rPr>
          <w:rFonts w:ascii="宋体"/>
          <w:sz w:val="28"/>
        </w:rPr>
        <w:t>布置；</w:t>
      </w:r>
    </w:p>
    <w:p w14:paraId="13E665F9">
      <w:pPr>
        <w:adjustRightInd w:val="0"/>
        <w:snapToGrid w:val="0"/>
        <w:spacing w:line="360" w:lineRule="auto"/>
        <w:ind w:firstLine="560" w:firstLineChars="200"/>
        <w:rPr>
          <w:rFonts w:ascii="宋体"/>
          <w:sz w:val="28"/>
        </w:rPr>
      </w:pPr>
      <w:r>
        <w:rPr>
          <w:rFonts w:ascii="宋体"/>
          <w:sz w:val="28"/>
        </w:rPr>
        <w:t>3、加油工艺及设施；</w:t>
      </w:r>
    </w:p>
    <w:p w14:paraId="08E2C8DE">
      <w:pPr>
        <w:adjustRightInd w:val="0"/>
        <w:snapToGrid w:val="0"/>
        <w:spacing w:line="360" w:lineRule="auto"/>
        <w:ind w:firstLine="560" w:firstLineChars="200"/>
        <w:rPr>
          <w:rFonts w:ascii="宋体"/>
          <w:sz w:val="28"/>
        </w:rPr>
      </w:pPr>
      <w:r>
        <w:rPr>
          <w:rFonts w:ascii="宋体"/>
          <w:sz w:val="28"/>
        </w:rPr>
        <w:t>4、其它安全设施</w:t>
      </w:r>
      <w:r>
        <w:rPr>
          <w:rFonts w:hint="eastAsia" w:ascii="宋体"/>
          <w:sz w:val="28"/>
        </w:rPr>
        <w:t>；</w:t>
      </w:r>
    </w:p>
    <w:p w14:paraId="6DE41671">
      <w:pPr>
        <w:snapToGrid w:val="0"/>
        <w:spacing w:before="120" w:after="120" w:line="560" w:lineRule="exact"/>
        <w:jc w:val="center"/>
        <w:outlineLvl w:val="1"/>
        <w:rPr>
          <w:rFonts w:ascii="Calibri" w:hAnsi="Calibri" w:eastAsia="楷体_GB2312"/>
          <w:b/>
          <w:kern w:val="0"/>
          <w:sz w:val="32"/>
          <w:szCs w:val="20"/>
        </w:rPr>
      </w:pPr>
      <w:r>
        <w:rPr>
          <w:rFonts w:ascii="Calibri" w:hAnsi="Calibri" w:eastAsia="楷体_GB2312"/>
          <w:b/>
          <w:kern w:val="0"/>
          <w:sz w:val="32"/>
          <w:szCs w:val="20"/>
        </w:rPr>
        <w:t>第二节 评价方法的选择</w:t>
      </w:r>
      <w:bookmarkEnd w:id="32"/>
      <w:bookmarkEnd w:id="33"/>
      <w:bookmarkEnd w:id="34"/>
      <w:bookmarkEnd w:id="35"/>
      <w:bookmarkEnd w:id="36"/>
      <w:bookmarkEnd w:id="37"/>
      <w:bookmarkEnd w:id="38"/>
      <w:bookmarkEnd w:id="39"/>
      <w:bookmarkEnd w:id="40"/>
      <w:bookmarkEnd w:id="41"/>
      <w:bookmarkEnd w:id="42"/>
      <w:bookmarkEnd w:id="43"/>
      <w:bookmarkEnd w:id="44"/>
    </w:p>
    <w:p w14:paraId="623DD247">
      <w:pPr>
        <w:pStyle w:val="8"/>
        <w:widowControl w:val="0"/>
        <w:spacing w:line="360" w:lineRule="auto"/>
        <w:ind w:firstLine="560"/>
        <w:rPr>
          <w:rFonts w:ascii="宋体"/>
        </w:rPr>
      </w:pPr>
      <w:r>
        <w:rPr>
          <w:rFonts w:ascii="宋体"/>
        </w:rPr>
        <w:t>在进行安全评价时，应该在认真分析并熟悉评价系统的前提下，选择安全评价方法。选择安全评价方法应遵循充分性、系统性、针对性和合理性的原则。</w:t>
      </w:r>
    </w:p>
    <w:p w14:paraId="78B8D6EA">
      <w:pPr>
        <w:pStyle w:val="8"/>
        <w:widowControl w:val="0"/>
        <w:spacing w:line="360" w:lineRule="auto"/>
        <w:ind w:firstLine="560"/>
        <w:rPr>
          <w:rFonts w:ascii="宋体"/>
        </w:rPr>
      </w:pPr>
      <w:r>
        <w:rPr>
          <w:rFonts w:ascii="宋体"/>
        </w:rPr>
        <w:t>在选择安全评价方法时，应首先详细分析被评价的系统，明确通过安全评价要达到的目标，即通过安全评价需要给出哪些、什么样的安全评价结果；然后应收集尽量多的安全评价方法，将安全评价方法进行分类整理，明确被评价的系统能够提供的基础数据、工艺和其它资料；再根据安全评价要达到的目标以及所需的基础数据、工艺和其它资料，选择适用的安全评价方法。</w:t>
      </w:r>
    </w:p>
    <w:p w14:paraId="6619C924">
      <w:pPr>
        <w:pStyle w:val="8"/>
        <w:widowControl w:val="0"/>
        <w:spacing w:line="360" w:lineRule="auto"/>
        <w:ind w:firstLine="560"/>
        <w:rPr>
          <w:rFonts w:ascii="宋体"/>
        </w:rPr>
      </w:pPr>
      <w:r>
        <w:rPr>
          <w:rFonts w:ascii="宋体"/>
        </w:rPr>
        <w:t>根据本次安全评价的特点，结合</w:t>
      </w:r>
      <w:r>
        <w:rPr>
          <w:rFonts w:hint="eastAsia" w:ascii="宋体" w:hAnsi="宋体"/>
          <w:sz w:val="28"/>
          <w:lang w:val="en-US" w:eastAsia="zh-CN"/>
        </w:rPr>
        <w:t>新泰市谷里镇后北村</w:t>
      </w:r>
      <w:r>
        <w:rPr>
          <w:rFonts w:hint="eastAsia" w:ascii="宋体" w:hAnsi="宋体"/>
          <w:sz w:val="28"/>
        </w:rPr>
        <w:t>加油站</w:t>
      </w:r>
      <w:r>
        <w:rPr>
          <w:rFonts w:ascii="宋体"/>
        </w:rPr>
        <w:t>的具体情况，选用安全检查表、事故树法及危险度评价法对加油站进行评价。具体应用如下表所示：</w:t>
      </w:r>
    </w:p>
    <w:p w14:paraId="064646EB">
      <w:pPr>
        <w:pStyle w:val="10"/>
        <w:widowControl w:val="0"/>
        <w:outlineLvl w:val="9"/>
        <w:rPr>
          <w:rFonts w:ascii="黑体" w:hAnsi="黑体"/>
        </w:rPr>
      </w:pPr>
      <w:r>
        <w:rPr>
          <w:rFonts w:ascii="黑体" w:hAnsi="黑体"/>
        </w:rPr>
        <w:t>表4.2-1 评价方法选择一览表</w:t>
      </w:r>
    </w:p>
    <w:tbl>
      <w:tblPr>
        <w:tblStyle w:val="3"/>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2473"/>
        <w:gridCol w:w="2305"/>
        <w:gridCol w:w="2253"/>
        <w:gridCol w:w="1872"/>
      </w:tblGrid>
      <w:tr w14:paraId="0906F5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40" w:hRule="atLeast"/>
          <w:jc w:val="center"/>
        </w:trPr>
        <w:tc>
          <w:tcPr>
            <w:tcW w:w="376" w:type="pct"/>
            <w:vMerge w:val="restart"/>
            <w:vAlign w:val="center"/>
          </w:tcPr>
          <w:p w14:paraId="511B5ADF">
            <w:pPr>
              <w:pStyle w:val="11"/>
              <w:widowControl w:val="0"/>
              <w:spacing w:line="360" w:lineRule="auto"/>
              <w:rPr>
                <w:rFonts w:ascii="宋体"/>
                <w:b/>
                <w:lang w:val="en-GB"/>
              </w:rPr>
            </w:pPr>
            <w:r>
              <w:rPr>
                <w:rFonts w:ascii="宋体"/>
                <w:b/>
                <w:lang w:val="en-GB"/>
              </w:rPr>
              <w:t>序号</w:t>
            </w:r>
          </w:p>
        </w:tc>
        <w:tc>
          <w:tcPr>
            <w:tcW w:w="1284" w:type="pct"/>
            <w:vMerge w:val="restart"/>
            <w:vAlign w:val="center"/>
          </w:tcPr>
          <w:p w14:paraId="2179EB04">
            <w:pPr>
              <w:pStyle w:val="11"/>
              <w:widowControl w:val="0"/>
              <w:spacing w:line="360" w:lineRule="auto"/>
              <w:rPr>
                <w:rFonts w:ascii="宋体"/>
                <w:b/>
              </w:rPr>
            </w:pPr>
            <w:r>
              <w:rPr>
                <w:rFonts w:ascii="宋体"/>
                <w:b/>
                <w:bCs/>
                <w:lang w:val="en-GB"/>
              </w:rPr>
              <w:t>评价单元</w:t>
            </w:r>
          </w:p>
        </w:tc>
        <w:tc>
          <w:tcPr>
            <w:tcW w:w="3339" w:type="pct"/>
            <w:gridSpan w:val="3"/>
            <w:vAlign w:val="center"/>
          </w:tcPr>
          <w:p w14:paraId="5D39AF4D">
            <w:pPr>
              <w:pStyle w:val="11"/>
              <w:widowControl w:val="0"/>
              <w:spacing w:line="360" w:lineRule="auto"/>
              <w:rPr>
                <w:rFonts w:ascii="宋体"/>
                <w:b/>
              </w:rPr>
            </w:pPr>
            <w:r>
              <w:rPr>
                <w:rFonts w:ascii="宋体"/>
                <w:b/>
                <w:lang w:val="en-GB"/>
              </w:rPr>
              <w:t>评价方法</w:t>
            </w:r>
          </w:p>
        </w:tc>
      </w:tr>
      <w:tr w14:paraId="15C76F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Merge w:val="continue"/>
            <w:vAlign w:val="center"/>
          </w:tcPr>
          <w:p w14:paraId="6AFDDDD2">
            <w:pPr>
              <w:pStyle w:val="11"/>
              <w:widowControl w:val="0"/>
              <w:spacing w:line="360" w:lineRule="auto"/>
              <w:rPr>
                <w:rFonts w:ascii="宋体"/>
                <w:b/>
                <w:lang w:val="en-GB"/>
              </w:rPr>
            </w:pPr>
          </w:p>
        </w:tc>
        <w:tc>
          <w:tcPr>
            <w:tcW w:w="1284" w:type="pct"/>
            <w:vMerge w:val="continue"/>
            <w:vAlign w:val="center"/>
          </w:tcPr>
          <w:p w14:paraId="2833A060">
            <w:pPr>
              <w:pStyle w:val="11"/>
              <w:widowControl w:val="0"/>
              <w:spacing w:line="360" w:lineRule="auto"/>
              <w:rPr>
                <w:rFonts w:ascii="宋体"/>
                <w:b/>
              </w:rPr>
            </w:pPr>
          </w:p>
        </w:tc>
        <w:tc>
          <w:tcPr>
            <w:tcW w:w="1197" w:type="pct"/>
            <w:vAlign w:val="center"/>
          </w:tcPr>
          <w:p w14:paraId="5F9C49AE">
            <w:pPr>
              <w:pStyle w:val="11"/>
              <w:widowControl w:val="0"/>
              <w:spacing w:line="360" w:lineRule="auto"/>
              <w:rPr>
                <w:rFonts w:ascii="宋体"/>
                <w:b/>
                <w:lang w:val="en-GB"/>
              </w:rPr>
            </w:pPr>
            <w:r>
              <w:rPr>
                <w:rFonts w:ascii="宋体"/>
                <w:b/>
                <w:lang w:val="en-GB"/>
              </w:rPr>
              <w:t>安全检查表</w:t>
            </w:r>
          </w:p>
        </w:tc>
        <w:tc>
          <w:tcPr>
            <w:tcW w:w="1170" w:type="pct"/>
            <w:vAlign w:val="center"/>
          </w:tcPr>
          <w:p w14:paraId="09C38B01">
            <w:pPr>
              <w:pStyle w:val="11"/>
              <w:widowControl w:val="0"/>
              <w:spacing w:line="360" w:lineRule="auto"/>
              <w:rPr>
                <w:rFonts w:ascii="宋体"/>
                <w:b/>
                <w:lang w:val="en-GB"/>
              </w:rPr>
            </w:pPr>
            <w:r>
              <w:rPr>
                <w:rFonts w:ascii="宋体"/>
                <w:b/>
                <w:lang w:val="en-GB"/>
              </w:rPr>
              <w:t>危险度评价法</w:t>
            </w:r>
          </w:p>
        </w:tc>
        <w:tc>
          <w:tcPr>
            <w:tcW w:w="971" w:type="pct"/>
            <w:vAlign w:val="center"/>
          </w:tcPr>
          <w:p w14:paraId="2DB86355">
            <w:pPr>
              <w:pStyle w:val="11"/>
              <w:widowControl w:val="0"/>
              <w:spacing w:line="360" w:lineRule="auto"/>
              <w:rPr>
                <w:rFonts w:ascii="宋体"/>
                <w:b/>
                <w:lang w:val="en-GB"/>
              </w:rPr>
            </w:pPr>
            <w:r>
              <w:rPr>
                <w:rFonts w:ascii="宋体"/>
                <w:b/>
                <w:lang w:val="en-GB"/>
              </w:rPr>
              <w:t>事故树法</w:t>
            </w:r>
          </w:p>
        </w:tc>
      </w:tr>
      <w:tr w14:paraId="649221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Align w:val="center"/>
          </w:tcPr>
          <w:p w14:paraId="1F13F161">
            <w:pPr>
              <w:pStyle w:val="11"/>
              <w:widowControl w:val="0"/>
              <w:spacing w:line="360" w:lineRule="auto"/>
              <w:rPr>
                <w:rFonts w:ascii="宋体"/>
                <w:lang w:val="en-GB"/>
              </w:rPr>
            </w:pPr>
            <w:r>
              <w:rPr>
                <w:rFonts w:ascii="宋体"/>
                <w:lang w:val="en-GB"/>
              </w:rPr>
              <w:t>1</w:t>
            </w:r>
          </w:p>
        </w:tc>
        <w:tc>
          <w:tcPr>
            <w:tcW w:w="1284" w:type="pct"/>
            <w:vAlign w:val="center"/>
          </w:tcPr>
          <w:p w14:paraId="5B1FCC2F">
            <w:pPr>
              <w:pStyle w:val="11"/>
              <w:widowControl w:val="0"/>
              <w:spacing w:line="360" w:lineRule="auto"/>
              <w:rPr>
                <w:rFonts w:ascii="宋体"/>
                <w:lang w:val="en-GB"/>
              </w:rPr>
            </w:pPr>
            <w:r>
              <w:rPr>
                <w:rFonts w:ascii="宋体"/>
                <w:lang w:val="en-GB"/>
              </w:rPr>
              <w:t>安全管理单元</w:t>
            </w:r>
          </w:p>
        </w:tc>
        <w:tc>
          <w:tcPr>
            <w:tcW w:w="1197" w:type="pct"/>
            <w:vAlign w:val="center"/>
          </w:tcPr>
          <w:p w14:paraId="6DE91EE2">
            <w:pPr>
              <w:pStyle w:val="11"/>
              <w:widowControl w:val="0"/>
              <w:spacing w:line="360" w:lineRule="auto"/>
              <w:rPr>
                <w:rFonts w:ascii="宋体"/>
              </w:rPr>
            </w:pPr>
            <w:r>
              <w:rPr>
                <w:rFonts w:hint="eastAsia" w:ascii="宋体" w:hAnsi="宋体" w:cs="宋体"/>
              </w:rPr>
              <w:t>★</w:t>
            </w:r>
          </w:p>
        </w:tc>
        <w:tc>
          <w:tcPr>
            <w:tcW w:w="1170" w:type="pct"/>
            <w:vAlign w:val="center"/>
          </w:tcPr>
          <w:p w14:paraId="2352AEF4">
            <w:pPr>
              <w:pStyle w:val="11"/>
              <w:widowControl w:val="0"/>
              <w:spacing w:line="360" w:lineRule="auto"/>
              <w:rPr>
                <w:rFonts w:ascii="宋体"/>
              </w:rPr>
            </w:pPr>
          </w:p>
        </w:tc>
        <w:tc>
          <w:tcPr>
            <w:tcW w:w="971" w:type="pct"/>
            <w:vAlign w:val="center"/>
          </w:tcPr>
          <w:p w14:paraId="360E7B04">
            <w:pPr>
              <w:pStyle w:val="11"/>
              <w:widowControl w:val="0"/>
              <w:spacing w:line="360" w:lineRule="auto"/>
              <w:rPr>
                <w:rFonts w:ascii="宋体"/>
              </w:rPr>
            </w:pPr>
          </w:p>
        </w:tc>
      </w:tr>
      <w:tr w14:paraId="228B8E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Align w:val="center"/>
          </w:tcPr>
          <w:p w14:paraId="55098B1E">
            <w:pPr>
              <w:pStyle w:val="11"/>
              <w:widowControl w:val="0"/>
              <w:spacing w:line="360" w:lineRule="auto"/>
              <w:rPr>
                <w:rFonts w:ascii="宋体"/>
                <w:lang w:val="en-GB"/>
              </w:rPr>
            </w:pPr>
            <w:r>
              <w:rPr>
                <w:rFonts w:ascii="宋体"/>
                <w:lang w:val="en-GB"/>
              </w:rPr>
              <w:t>2</w:t>
            </w:r>
          </w:p>
        </w:tc>
        <w:tc>
          <w:tcPr>
            <w:tcW w:w="1284" w:type="pct"/>
            <w:vAlign w:val="center"/>
          </w:tcPr>
          <w:p w14:paraId="6A2AD09E">
            <w:pPr>
              <w:pStyle w:val="11"/>
              <w:widowControl w:val="0"/>
              <w:spacing w:line="360" w:lineRule="auto"/>
              <w:rPr>
                <w:rFonts w:ascii="宋体"/>
                <w:lang w:val="en-GB"/>
              </w:rPr>
            </w:pPr>
            <w:r>
              <w:rPr>
                <w:rFonts w:ascii="宋体"/>
                <w:lang w:val="en-GB"/>
              </w:rPr>
              <w:t>站址选择及总平面布置</w:t>
            </w:r>
          </w:p>
        </w:tc>
        <w:tc>
          <w:tcPr>
            <w:tcW w:w="1197" w:type="pct"/>
            <w:vAlign w:val="center"/>
          </w:tcPr>
          <w:p w14:paraId="07922B9F">
            <w:pPr>
              <w:pStyle w:val="11"/>
              <w:widowControl w:val="0"/>
              <w:spacing w:line="360" w:lineRule="auto"/>
              <w:rPr>
                <w:rFonts w:ascii="宋体"/>
              </w:rPr>
            </w:pPr>
            <w:r>
              <w:rPr>
                <w:rFonts w:hint="eastAsia" w:ascii="宋体" w:hAnsi="宋体" w:cs="宋体"/>
              </w:rPr>
              <w:t>★</w:t>
            </w:r>
          </w:p>
        </w:tc>
        <w:tc>
          <w:tcPr>
            <w:tcW w:w="1170" w:type="pct"/>
            <w:vAlign w:val="center"/>
          </w:tcPr>
          <w:p w14:paraId="0DA02DA9">
            <w:pPr>
              <w:pStyle w:val="11"/>
              <w:widowControl w:val="0"/>
              <w:spacing w:line="360" w:lineRule="auto"/>
              <w:rPr>
                <w:rFonts w:ascii="宋体"/>
              </w:rPr>
            </w:pPr>
          </w:p>
        </w:tc>
        <w:tc>
          <w:tcPr>
            <w:tcW w:w="971" w:type="pct"/>
            <w:vAlign w:val="center"/>
          </w:tcPr>
          <w:p w14:paraId="55045707">
            <w:pPr>
              <w:pStyle w:val="11"/>
              <w:widowControl w:val="0"/>
              <w:spacing w:line="360" w:lineRule="auto"/>
              <w:rPr>
                <w:rFonts w:ascii="宋体"/>
              </w:rPr>
            </w:pPr>
          </w:p>
        </w:tc>
      </w:tr>
      <w:tr w14:paraId="3A2826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Align w:val="center"/>
          </w:tcPr>
          <w:p w14:paraId="5EF7A6DD">
            <w:pPr>
              <w:pStyle w:val="11"/>
              <w:widowControl w:val="0"/>
              <w:spacing w:line="360" w:lineRule="auto"/>
              <w:rPr>
                <w:rFonts w:ascii="宋体"/>
                <w:lang w:val="en-GB"/>
              </w:rPr>
            </w:pPr>
            <w:r>
              <w:rPr>
                <w:rFonts w:ascii="宋体"/>
                <w:lang w:val="en-GB"/>
              </w:rPr>
              <w:t>3</w:t>
            </w:r>
          </w:p>
        </w:tc>
        <w:tc>
          <w:tcPr>
            <w:tcW w:w="1284" w:type="pct"/>
            <w:vAlign w:val="center"/>
          </w:tcPr>
          <w:p w14:paraId="5DC95B07">
            <w:pPr>
              <w:pStyle w:val="11"/>
              <w:widowControl w:val="0"/>
              <w:spacing w:line="360" w:lineRule="auto"/>
              <w:rPr>
                <w:rFonts w:ascii="宋体"/>
                <w:lang w:val="en-GB"/>
              </w:rPr>
            </w:pPr>
            <w:r>
              <w:rPr>
                <w:rFonts w:ascii="宋体"/>
                <w:lang w:val="en-GB"/>
              </w:rPr>
              <w:t>加油工艺及设施</w:t>
            </w:r>
          </w:p>
        </w:tc>
        <w:tc>
          <w:tcPr>
            <w:tcW w:w="1197" w:type="pct"/>
            <w:vAlign w:val="center"/>
          </w:tcPr>
          <w:p w14:paraId="10B60738">
            <w:pPr>
              <w:pStyle w:val="11"/>
              <w:widowControl w:val="0"/>
              <w:spacing w:line="360" w:lineRule="auto"/>
              <w:rPr>
                <w:rFonts w:ascii="宋体"/>
              </w:rPr>
            </w:pPr>
            <w:r>
              <w:rPr>
                <w:rFonts w:hint="eastAsia" w:ascii="宋体" w:hAnsi="宋体" w:cs="宋体"/>
              </w:rPr>
              <w:t>★</w:t>
            </w:r>
          </w:p>
        </w:tc>
        <w:tc>
          <w:tcPr>
            <w:tcW w:w="1170" w:type="pct"/>
            <w:vAlign w:val="center"/>
          </w:tcPr>
          <w:p w14:paraId="323FA37F">
            <w:pPr>
              <w:pStyle w:val="11"/>
              <w:widowControl w:val="0"/>
              <w:spacing w:line="360" w:lineRule="auto"/>
              <w:rPr>
                <w:rFonts w:ascii="宋体"/>
              </w:rPr>
            </w:pPr>
            <w:r>
              <w:rPr>
                <w:rFonts w:hint="eastAsia" w:ascii="宋体" w:hAnsi="宋体" w:cs="宋体"/>
              </w:rPr>
              <w:t>★</w:t>
            </w:r>
          </w:p>
        </w:tc>
        <w:tc>
          <w:tcPr>
            <w:tcW w:w="971" w:type="pct"/>
            <w:vAlign w:val="center"/>
          </w:tcPr>
          <w:p w14:paraId="4E7002CC">
            <w:pPr>
              <w:pStyle w:val="11"/>
              <w:widowControl w:val="0"/>
              <w:spacing w:line="360" w:lineRule="auto"/>
              <w:rPr>
                <w:rFonts w:ascii="宋体"/>
              </w:rPr>
            </w:pPr>
            <w:r>
              <w:rPr>
                <w:rFonts w:hint="eastAsia" w:ascii="宋体" w:hAnsi="宋体" w:cs="宋体"/>
              </w:rPr>
              <w:t>★</w:t>
            </w:r>
          </w:p>
        </w:tc>
      </w:tr>
      <w:tr w14:paraId="0BFDD8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376" w:type="pct"/>
            <w:vAlign w:val="center"/>
          </w:tcPr>
          <w:p w14:paraId="31644B87">
            <w:pPr>
              <w:pStyle w:val="11"/>
              <w:widowControl w:val="0"/>
              <w:spacing w:line="360" w:lineRule="auto"/>
              <w:rPr>
                <w:rFonts w:ascii="宋体"/>
                <w:lang w:val="en-GB"/>
              </w:rPr>
            </w:pPr>
            <w:r>
              <w:rPr>
                <w:rFonts w:ascii="宋体"/>
                <w:lang w:val="en-GB"/>
              </w:rPr>
              <w:t>4</w:t>
            </w:r>
          </w:p>
        </w:tc>
        <w:tc>
          <w:tcPr>
            <w:tcW w:w="1284" w:type="pct"/>
            <w:vAlign w:val="center"/>
          </w:tcPr>
          <w:p w14:paraId="6FB24C76">
            <w:pPr>
              <w:pStyle w:val="11"/>
              <w:widowControl w:val="0"/>
              <w:spacing w:line="360" w:lineRule="auto"/>
              <w:rPr>
                <w:rFonts w:ascii="宋体"/>
                <w:lang w:val="en-GB"/>
              </w:rPr>
            </w:pPr>
            <w:r>
              <w:rPr>
                <w:rFonts w:ascii="宋体"/>
                <w:lang w:val="en-GB"/>
              </w:rPr>
              <w:t>其它安全设施</w:t>
            </w:r>
          </w:p>
        </w:tc>
        <w:tc>
          <w:tcPr>
            <w:tcW w:w="1197" w:type="pct"/>
            <w:vAlign w:val="center"/>
          </w:tcPr>
          <w:p w14:paraId="262C4394">
            <w:pPr>
              <w:pStyle w:val="11"/>
              <w:widowControl w:val="0"/>
              <w:spacing w:line="360" w:lineRule="auto"/>
              <w:rPr>
                <w:rFonts w:ascii="宋体"/>
                <w:lang w:val="en-GB"/>
              </w:rPr>
            </w:pPr>
            <w:r>
              <w:rPr>
                <w:rFonts w:hint="eastAsia" w:ascii="宋体"/>
                <w:lang w:val="en-GB"/>
              </w:rPr>
              <w:t>★</w:t>
            </w:r>
          </w:p>
        </w:tc>
        <w:tc>
          <w:tcPr>
            <w:tcW w:w="1170" w:type="pct"/>
            <w:vAlign w:val="center"/>
          </w:tcPr>
          <w:p w14:paraId="0B295039">
            <w:pPr>
              <w:pStyle w:val="11"/>
              <w:widowControl w:val="0"/>
              <w:spacing w:line="360" w:lineRule="auto"/>
              <w:rPr>
                <w:rFonts w:ascii="宋体"/>
                <w:lang w:val="en-GB"/>
              </w:rPr>
            </w:pPr>
          </w:p>
        </w:tc>
        <w:tc>
          <w:tcPr>
            <w:tcW w:w="971" w:type="pct"/>
            <w:vAlign w:val="center"/>
          </w:tcPr>
          <w:p w14:paraId="4AF74AD0">
            <w:pPr>
              <w:pStyle w:val="11"/>
              <w:widowControl w:val="0"/>
              <w:spacing w:line="360" w:lineRule="auto"/>
              <w:rPr>
                <w:rFonts w:ascii="宋体"/>
                <w:lang w:val="en-GB"/>
              </w:rPr>
            </w:pPr>
          </w:p>
        </w:tc>
      </w:tr>
    </w:tbl>
    <w:p w14:paraId="246A05B3">
      <w:pPr>
        <w:pStyle w:val="8"/>
        <w:widowControl w:val="0"/>
        <w:spacing w:line="360" w:lineRule="auto"/>
        <w:ind w:firstLine="420"/>
        <w:rPr>
          <w:rFonts w:ascii="黑体" w:hAnsi="黑体" w:eastAsia="黑体"/>
        </w:rPr>
      </w:pPr>
      <w:r>
        <w:rPr>
          <w:rFonts w:ascii="黑体" w:hAnsi="黑体" w:eastAsia="黑体"/>
          <w:sz w:val="21"/>
          <w:szCs w:val="21"/>
          <w:u w:color="000000"/>
        </w:rPr>
        <w:t>注：表中“★”表示采用的评价方法。</w:t>
      </w:r>
    </w:p>
    <w:p w14:paraId="0E6F3B92">
      <w:pPr>
        <w:pStyle w:val="2"/>
        <w:ind w:left="0" w:leftChars="0" w:firstLine="0" w:firstLineChars="0"/>
        <w:rPr>
          <w:rFonts w:hint="eastAsia" w:eastAsia="宋体"/>
          <w:lang w:eastAsia="zh-CN"/>
        </w:rPr>
      </w:pPr>
    </w:p>
    <w:p w14:paraId="3C511B33">
      <w:pPr>
        <w:pStyle w:val="2"/>
        <w:ind w:left="0" w:leftChars="0" w:firstLine="0" w:firstLineChars="0"/>
        <w:rPr>
          <w:rFonts w:hint="eastAsia" w:eastAsia="宋体"/>
          <w:lang w:eastAsia="zh-CN"/>
        </w:rPr>
      </w:pPr>
    </w:p>
    <w:p w14:paraId="6AB6F553">
      <w:pPr>
        <w:pStyle w:val="2"/>
        <w:ind w:left="0" w:leftChars="0" w:firstLine="0" w:firstLineChars="0"/>
        <w:rPr>
          <w:rFonts w:hint="eastAsia" w:eastAsia="宋体"/>
          <w:lang w:eastAsia="zh-CN"/>
        </w:rPr>
      </w:pPr>
    </w:p>
    <w:p w14:paraId="6CE943EB">
      <w:pPr>
        <w:pStyle w:val="2"/>
        <w:ind w:left="0" w:leftChars="0" w:firstLine="0" w:firstLineChars="0"/>
        <w:rPr>
          <w:rFonts w:hint="eastAsia" w:eastAsia="宋体"/>
          <w:lang w:eastAsia="zh-CN"/>
        </w:rPr>
      </w:pPr>
    </w:p>
    <w:p w14:paraId="47CE9C25">
      <w:pPr>
        <w:pStyle w:val="2"/>
        <w:ind w:left="0" w:leftChars="0" w:firstLine="0" w:firstLineChars="0"/>
        <w:rPr>
          <w:rFonts w:hint="eastAsia" w:eastAsia="宋体"/>
          <w:lang w:eastAsia="zh-CN"/>
        </w:rPr>
      </w:pPr>
    </w:p>
    <w:p w14:paraId="08160BA9">
      <w:pPr>
        <w:pStyle w:val="2"/>
        <w:ind w:left="0" w:leftChars="0" w:firstLine="0" w:firstLineChars="0"/>
        <w:rPr>
          <w:rFonts w:hint="eastAsia" w:eastAsia="宋体"/>
          <w:lang w:eastAsia="zh-CN"/>
        </w:rPr>
      </w:pPr>
    </w:p>
    <w:p w14:paraId="1CB55BB8">
      <w:pPr>
        <w:pStyle w:val="2"/>
        <w:ind w:left="0" w:leftChars="0" w:firstLine="0" w:firstLineChars="0"/>
        <w:rPr>
          <w:rFonts w:hint="eastAsia" w:eastAsia="宋体"/>
          <w:lang w:eastAsia="zh-CN"/>
        </w:rPr>
      </w:pPr>
    </w:p>
    <w:p w14:paraId="65276F86">
      <w:pPr>
        <w:pStyle w:val="2"/>
        <w:ind w:left="0" w:leftChars="0" w:firstLine="0" w:firstLineChars="0"/>
        <w:rPr>
          <w:rFonts w:hint="eastAsia" w:eastAsia="宋体"/>
          <w:lang w:eastAsia="zh-CN"/>
        </w:rPr>
      </w:pPr>
    </w:p>
    <w:p w14:paraId="1B33072A">
      <w:pPr>
        <w:pStyle w:val="2"/>
        <w:ind w:left="0" w:leftChars="0" w:firstLine="0" w:firstLineChars="0"/>
        <w:rPr>
          <w:rFonts w:hint="eastAsia" w:eastAsia="宋体"/>
          <w:lang w:eastAsia="zh-CN"/>
        </w:rPr>
      </w:pPr>
    </w:p>
    <w:p w14:paraId="762C658C">
      <w:pPr>
        <w:pStyle w:val="9"/>
        <w:widowControl w:val="0"/>
        <w:adjustRightInd w:val="0"/>
        <w:snapToGrid w:val="0"/>
        <w:spacing w:before="468" w:beforeLines="150" w:after="156" w:afterLines="50" w:line="360" w:lineRule="auto"/>
      </w:pPr>
      <w:bookmarkStart w:id="45" w:name="_Toc102633988"/>
      <w:bookmarkStart w:id="46" w:name="_Toc102634276"/>
      <w:bookmarkStart w:id="47" w:name="_Toc102633914"/>
      <w:bookmarkStart w:id="48" w:name="_Toc102634414"/>
      <w:bookmarkStart w:id="49" w:name="_Toc9894"/>
      <w:bookmarkStart w:id="50" w:name="_Toc15033761"/>
      <w:r>
        <w:t>第六章  安全对策措施及建议</w:t>
      </w:r>
      <w:bookmarkEnd w:id="45"/>
      <w:bookmarkEnd w:id="46"/>
      <w:bookmarkEnd w:id="47"/>
      <w:bookmarkEnd w:id="48"/>
      <w:bookmarkEnd w:id="49"/>
      <w:bookmarkEnd w:id="50"/>
    </w:p>
    <w:p w14:paraId="2040AF5C">
      <w:pPr>
        <w:snapToGrid w:val="0"/>
        <w:spacing w:before="120" w:after="120" w:line="560" w:lineRule="exact"/>
        <w:jc w:val="center"/>
        <w:outlineLvl w:val="1"/>
        <w:rPr>
          <w:rFonts w:ascii="Calibri" w:hAnsi="Calibri" w:eastAsia="楷体_GB2312"/>
          <w:b/>
          <w:kern w:val="0"/>
          <w:sz w:val="32"/>
          <w:szCs w:val="20"/>
        </w:rPr>
      </w:pPr>
      <w:bookmarkStart w:id="51" w:name="_Toc225046264"/>
      <w:bookmarkStart w:id="52" w:name="_Toc339456079"/>
      <w:bookmarkStart w:id="53" w:name="_Toc102634415"/>
      <w:bookmarkStart w:id="54" w:name="_Toc4961"/>
      <w:bookmarkStart w:id="55" w:name="_Toc348877039"/>
      <w:bookmarkStart w:id="56" w:name="_Toc15033762"/>
      <w:bookmarkStart w:id="57" w:name="_Toc102633915"/>
      <w:bookmarkStart w:id="58" w:name="_Toc102633989"/>
      <w:bookmarkStart w:id="59" w:name="_Toc242065302"/>
      <w:bookmarkStart w:id="60" w:name="_Toc102634277"/>
      <w:r>
        <w:rPr>
          <w:rFonts w:ascii="Calibri" w:hAnsi="Calibri" w:eastAsia="楷体_GB2312"/>
          <w:b/>
          <w:kern w:val="0"/>
          <w:sz w:val="32"/>
          <w:szCs w:val="20"/>
        </w:rPr>
        <w:t xml:space="preserve">第一节 </w:t>
      </w:r>
      <w:bookmarkEnd w:id="51"/>
      <w:bookmarkEnd w:id="52"/>
      <w:r>
        <w:rPr>
          <w:rFonts w:ascii="Calibri" w:hAnsi="Calibri" w:eastAsia="楷体_GB2312"/>
          <w:b/>
          <w:kern w:val="0"/>
          <w:sz w:val="32"/>
          <w:szCs w:val="20"/>
        </w:rPr>
        <w:t>存在的问题及整改建议</w:t>
      </w:r>
      <w:bookmarkEnd w:id="53"/>
      <w:bookmarkEnd w:id="54"/>
      <w:bookmarkEnd w:id="55"/>
      <w:bookmarkEnd w:id="56"/>
      <w:bookmarkEnd w:id="57"/>
      <w:bookmarkEnd w:id="58"/>
      <w:bookmarkEnd w:id="59"/>
      <w:bookmarkEnd w:id="60"/>
    </w:p>
    <w:p w14:paraId="6C942DDE">
      <w:pPr>
        <w:adjustRightInd w:val="0"/>
        <w:snapToGrid w:val="0"/>
        <w:spacing w:line="360" w:lineRule="auto"/>
        <w:ind w:firstLine="560" w:firstLineChars="200"/>
        <w:rPr>
          <w:rFonts w:ascii="宋体"/>
          <w:kern w:val="0"/>
          <w:sz w:val="28"/>
          <w:szCs w:val="20"/>
        </w:rPr>
      </w:pPr>
      <w:bookmarkStart w:id="61" w:name="_Toc15033763"/>
      <w:bookmarkStart w:id="62" w:name="_Toc49590281"/>
      <w:r>
        <w:rPr>
          <w:rFonts w:ascii="宋体"/>
          <w:kern w:val="0"/>
          <w:sz w:val="28"/>
          <w:szCs w:val="20"/>
        </w:rPr>
        <w:t>通过现场检查和审查有关资料</w:t>
      </w:r>
      <w:r>
        <w:rPr>
          <w:rFonts w:hint="eastAsia" w:ascii="宋体"/>
          <w:kern w:val="0"/>
          <w:sz w:val="28"/>
          <w:szCs w:val="20"/>
        </w:rPr>
        <w:t>可以看出，该加油站问题如下：</w:t>
      </w:r>
    </w:p>
    <w:bookmarkEnd w:id="61"/>
    <w:bookmarkEnd w:id="62"/>
    <w:p w14:paraId="0BB08880">
      <w:pPr>
        <w:widowControl/>
        <w:spacing w:line="360" w:lineRule="auto"/>
        <w:jc w:val="center"/>
        <w:textAlignment w:val="baseline"/>
        <w:rPr>
          <w:rFonts w:eastAsia="黑体"/>
          <w:kern w:val="0"/>
          <w:sz w:val="24"/>
          <w:szCs w:val="24"/>
          <w:u w:color="000000"/>
        </w:rPr>
      </w:pPr>
      <w:r>
        <w:rPr>
          <w:rFonts w:hint="eastAsia" w:ascii="黑体" w:hAnsi="黑体" w:eastAsia="黑体" w:cs="黑体"/>
          <w:kern w:val="0"/>
          <w:sz w:val="24"/>
          <w:szCs w:val="24"/>
          <w:u w:color="000000"/>
        </w:rPr>
        <w:t>表6.1-1</w:t>
      </w:r>
      <w:r>
        <w:rPr>
          <w:rFonts w:hint="eastAsia" w:eastAsia="黑体"/>
          <w:kern w:val="0"/>
          <w:sz w:val="24"/>
          <w:szCs w:val="24"/>
          <w:u w:color="000000"/>
        </w:rPr>
        <w:t xml:space="preserve">  现场存在问题表</w:t>
      </w:r>
    </w:p>
    <w:tbl>
      <w:tblPr>
        <w:tblStyle w:val="3"/>
        <w:tblW w:w="940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845"/>
        <w:gridCol w:w="4740"/>
      </w:tblGrid>
      <w:tr w14:paraId="78D0BF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3" w:hRule="atLeast"/>
          <w:tblHeader/>
          <w:jc w:val="center"/>
        </w:trPr>
        <w:tc>
          <w:tcPr>
            <w:tcW w:w="817" w:type="dxa"/>
            <w:vAlign w:val="center"/>
          </w:tcPr>
          <w:p w14:paraId="0E714AE1">
            <w:pPr>
              <w:widowControl/>
              <w:tabs>
                <w:tab w:val="left" w:pos="6120"/>
              </w:tabs>
              <w:adjustRightInd w:val="0"/>
              <w:spacing w:before="31" w:beforeLines="10" w:after="31" w:afterLines="10" w:line="320" w:lineRule="exact"/>
              <w:jc w:val="center"/>
              <w:textAlignment w:val="baseline"/>
              <w:rPr>
                <w:rFonts w:ascii="宋体" w:hAnsi="宋体"/>
                <w:b/>
                <w:bCs/>
                <w:kern w:val="0"/>
                <w:position w:val="2"/>
                <w:u w:color="000000"/>
              </w:rPr>
            </w:pPr>
            <w:r>
              <w:rPr>
                <w:rFonts w:ascii="宋体" w:hAnsi="宋体"/>
                <w:b/>
                <w:bCs/>
                <w:kern w:val="0"/>
                <w:position w:val="2"/>
                <w:u w:color="000000"/>
              </w:rPr>
              <w:t>序号</w:t>
            </w:r>
          </w:p>
        </w:tc>
        <w:tc>
          <w:tcPr>
            <w:tcW w:w="3845" w:type="dxa"/>
            <w:vAlign w:val="center"/>
          </w:tcPr>
          <w:p w14:paraId="2B524BF1">
            <w:pPr>
              <w:widowControl/>
              <w:tabs>
                <w:tab w:val="left" w:pos="6120"/>
              </w:tabs>
              <w:adjustRightInd w:val="0"/>
              <w:spacing w:before="31" w:beforeLines="10" w:after="31" w:afterLines="10" w:line="320" w:lineRule="exact"/>
              <w:jc w:val="center"/>
              <w:textAlignment w:val="baseline"/>
              <w:rPr>
                <w:rFonts w:ascii="宋体" w:hAnsi="宋体"/>
                <w:b/>
                <w:bCs/>
                <w:kern w:val="0"/>
                <w:position w:val="2"/>
                <w:u w:color="000000"/>
              </w:rPr>
            </w:pPr>
            <w:r>
              <w:rPr>
                <w:rFonts w:ascii="宋体" w:hAnsi="宋体"/>
                <w:b/>
                <w:bCs/>
                <w:kern w:val="0"/>
                <w:position w:val="2"/>
                <w:u w:color="000000"/>
              </w:rPr>
              <w:t>企业存在的问题</w:t>
            </w:r>
          </w:p>
        </w:tc>
        <w:tc>
          <w:tcPr>
            <w:tcW w:w="4740" w:type="dxa"/>
            <w:vAlign w:val="center"/>
          </w:tcPr>
          <w:p w14:paraId="0F382ADB">
            <w:pPr>
              <w:widowControl/>
              <w:tabs>
                <w:tab w:val="left" w:pos="6120"/>
              </w:tabs>
              <w:adjustRightInd w:val="0"/>
              <w:spacing w:before="31" w:beforeLines="10" w:after="31" w:afterLines="10" w:line="320" w:lineRule="exact"/>
              <w:jc w:val="center"/>
              <w:textAlignment w:val="baseline"/>
              <w:rPr>
                <w:rFonts w:ascii="宋体" w:hAnsi="宋体"/>
                <w:b/>
                <w:bCs/>
                <w:kern w:val="0"/>
                <w:position w:val="2"/>
                <w:u w:color="000000"/>
              </w:rPr>
            </w:pPr>
            <w:r>
              <w:rPr>
                <w:rFonts w:ascii="宋体" w:hAnsi="宋体"/>
                <w:b/>
                <w:bCs/>
                <w:kern w:val="0"/>
                <w:position w:val="2"/>
                <w:u w:color="000000"/>
              </w:rPr>
              <w:t>整改建议措施</w:t>
            </w:r>
          </w:p>
        </w:tc>
      </w:tr>
      <w:tr w14:paraId="7914C9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2" w:hRule="atLeast"/>
          <w:jc w:val="center"/>
        </w:trPr>
        <w:tc>
          <w:tcPr>
            <w:tcW w:w="817" w:type="dxa"/>
            <w:vAlign w:val="center"/>
          </w:tcPr>
          <w:p w14:paraId="7B5F6239">
            <w:pPr>
              <w:widowControl/>
              <w:tabs>
                <w:tab w:val="left" w:pos="6120"/>
              </w:tabs>
              <w:adjustRightInd w:val="0"/>
              <w:spacing w:before="31" w:beforeLines="10" w:after="31" w:afterLines="10" w:line="320" w:lineRule="exact"/>
              <w:jc w:val="center"/>
              <w:textAlignment w:val="baseline"/>
              <w:rPr>
                <w:rFonts w:ascii="宋体" w:hAnsi="宋体"/>
                <w:bCs/>
                <w:kern w:val="0"/>
                <w:position w:val="2"/>
                <w:u w:color="000000"/>
              </w:rPr>
            </w:pPr>
            <w:r>
              <w:rPr>
                <w:rFonts w:hint="eastAsia" w:ascii="宋体" w:hAnsi="宋体"/>
                <w:bCs/>
                <w:kern w:val="0"/>
                <w:position w:val="2"/>
                <w:u w:color="000000"/>
              </w:rPr>
              <w:t>1</w:t>
            </w:r>
          </w:p>
        </w:tc>
        <w:tc>
          <w:tcPr>
            <w:tcW w:w="3845" w:type="dxa"/>
            <w:vAlign w:val="center"/>
          </w:tcPr>
          <w:p w14:paraId="15482C68">
            <w:pPr>
              <w:widowControl/>
              <w:tabs>
                <w:tab w:val="left" w:pos="6120"/>
              </w:tabs>
              <w:adjustRightInd w:val="0"/>
              <w:spacing w:before="31" w:beforeLines="10" w:after="31" w:afterLines="10" w:line="320" w:lineRule="exact"/>
              <w:jc w:val="center"/>
              <w:textAlignment w:val="baseline"/>
              <w:rPr>
                <w:rFonts w:hint="eastAsia" w:ascii="宋体" w:hAnsi="宋体" w:eastAsia="宋体"/>
                <w:kern w:val="0"/>
                <w:u w:color="000000"/>
                <w:lang w:eastAsia="zh-CN"/>
              </w:rPr>
            </w:pPr>
            <w:r>
              <w:rPr>
                <w:rFonts w:hint="eastAsia" w:ascii="宋体" w:hAnsi="宋体"/>
                <w:kern w:val="0"/>
                <w:u w:color="000000"/>
              </w:rPr>
              <w:t>人孔井内未设管道流向标识</w:t>
            </w:r>
            <w:r>
              <w:rPr>
                <w:rFonts w:hint="eastAsia" w:ascii="宋体" w:hAnsi="宋体"/>
                <w:kern w:val="0"/>
                <w:u w:color="000000"/>
                <w:lang w:eastAsia="zh-CN"/>
              </w:rPr>
              <w:t>；</w:t>
            </w:r>
          </w:p>
        </w:tc>
        <w:tc>
          <w:tcPr>
            <w:tcW w:w="4740" w:type="dxa"/>
            <w:vAlign w:val="center"/>
          </w:tcPr>
          <w:p w14:paraId="0CDC4376">
            <w:pPr>
              <w:widowControl/>
              <w:tabs>
                <w:tab w:val="left" w:pos="6120"/>
              </w:tabs>
              <w:adjustRightInd w:val="0"/>
              <w:spacing w:before="31" w:beforeLines="10" w:after="31" w:afterLines="10" w:line="320" w:lineRule="exact"/>
              <w:jc w:val="center"/>
              <w:textAlignment w:val="baseline"/>
              <w:rPr>
                <w:rFonts w:hint="eastAsia" w:ascii="宋体" w:hAnsi="宋体" w:eastAsia="宋体"/>
                <w:kern w:val="0"/>
                <w:u w:color="000000"/>
                <w:lang w:eastAsia="zh-CN"/>
              </w:rPr>
            </w:pPr>
            <w:r>
              <w:rPr>
                <w:rFonts w:hint="eastAsia" w:ascii="宋体" w:hAnsi="宋体"/>
                <w:kern w:val="0"/>
                <w:u w:color="000000"/>
              </w:rPr>
              <w:t>人孔井内增设管道流向标识</w:t>
            </w:r>
            <w:r>
              <w:rPr>
                <w:rFonts w:hint="eastAsia" w:ascii="宋体" w:hAnsi="宋体"/>
                <w:kern w:val="0"/>
                <w:u w:color="000000"/>
                <w:lang w:eastAsia="zh-CN"/>
              </w:rPr>
              <w:t>。</w:t>
            </w:r>
          </w:p>
        </w:tc>
      </w:tr>
      <w:tr w14:paraId="7E0D62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817" w:type="dxa"/>
            <w:vAlign w:val="center"/>
          </w:tcPr>
          <w:p w14:paraId="723FB82F">
            <w:pPr>
              <w:widowControl/>
              <w:tabs>
                <w:tab w:val="left" w:pos="6120"/>
              </w:tabs>
              <w:adjustRightInd w:val="0"/>
              <w:spacing w:before="31" w:beforeLines="10" w:after="31" w:afterLines="10" w:line="320" w:lineRule="exact"/>
              <w:jc w:val="center"/>
              <w:textAlignment w:val="baseline"/>
              <w:rPr>
                <w:rFonts w:hint="eastAsia" w:ascii="宋体" w:hAnsi="宋体" w:eastAsia="宋体"/>
                <w:bCs/>
                <w:kern w:val="0"/>
                <w:position w:val="2"/>
                <w:u w:color="000000"/>
                <w:lang w:val="en-US" w:eastAsia="zh-CN"/>
              </w:rPr>
            </w:pPr>
            <w:r>
              <w:rPr>
                <w:rFonts w:hint="eastAsia" w:ascii="宋体" w:hAnsi="宋体"/>
                <w:bCs/>
                <w:kern w:val="0"/>
                <w:position w:val="2"/>
                <w:u w:color="000000"/>
                <w:lang w:val="en-US" w:eastAsia="zh-CN"/>
              </w:rPr>
              <w:t>2</w:t>
            </w:r>
          </w:p>
        </w:tc>
        <w:tc>
          <w:tcPr>
            <w:tcW w:w="3845" w:type="dxa"/>
            <w:vAlign w:val="center"/>
          </w:tcPr>
          <w:p w14:paraId="1189DB0A">
            <w:pPr>
              <w:widowControl/>
              <w:tabs>
                <w:tab w:val="left" w:pos="6120"/>
              </w:tabs>
              <w:adjustRightInd w:val="0"/>
              <w:spacing w:before="31" w:beforeLines="10" w:after="31" w:afterLines="10" w:line="320" w:lineRule="exact"/>
              <w:jc w:val="center"/>
              <w:textAlignment w:val="baseline"/>
              <w:rPr>
                <w:rFonts w:hint="default" w:ascii="宋体" w:hAnsi="宋体" w:eastAsia="宋体"/>
                <w:kern w:val="0"/>
                <w:u w:color="000000"/>
                <w:lang w:val="en-US" w:eastAsia="zh-CN"/>
              </w:rPr>
            </w:pPr>
            <w:r>
              <w:rPr>
                <w:rFonts w:hint="eastAsia" w:ascii="宋体" w:hAnsi="宋体"/>
                <w:kern w:val="0"/>
                <w:u w:color="000000"/>
                <w:lang w:val="en-US" w:eastAsia="zh-CN"/>
              </w:rPr>
              <w:t>信息系统未连接UPS；</w:t>
            </w:r>
          </w:p>
        </w:tc>
        <w:tc>
          <w:tcPr>
            <w:tcW w:w="4740" w:type="dxa"/>
            <w:vAlign w:val="center"/>
          </w:tcPr>
          <w:p w14:paraId="70A4D1B1">
            <w:pPr>
              <w:widowControl/>
              <w:tabs>
                <w:tab w:val="left" w:pos="6120"/>
              </w:tabs>
              <w:adjustRightInd w:val="0"/>
              <w:spacing w:before="31" w:beforeLines="10" w:after="31" w:afterLines="10" w:line="320" w:lineRule="exact"/>
              <w:jc w:val="center"/>
              <w:textAlignment w:val="baseline"/>
              <w:rPr>
                <w:rFonts w:ascii="宋体" w:hAnsi="宋体"/>
                <w:kern w:val="0"/>
                <w:u w:color="000000"/>
              </w:rPr>
            </w:pPr>
            <w:r>
              <w:rPr>
                <w:rFonts w:hint="eastAsia" w:ascii="宋体" w:hAnsi="宋体"/>
                <w:kern w:val="0"/>
                <w:u w:color="000000"/>
                <w:lang w:val="en-US" w:eastAsia="zh-CN"/>
              </w:rPr>
              <w:t>信息系统及时连接UPS</w:t>
            </w:r>
            <w:r>
              <w:rPr>
                <w:rFonts w:hint="eastAsia" w:ascii="宋体" w:hAnsi="宋体"/>
                <w:kern w:val="0"/>
                <w:u w:color="000000"/>
              </w:rPr>
              <w:t>。</w:t>
            </w:r>
          </w:p>
        </w:tc>
      </w:tr>
      <w:tr w14:paraId="5DCFF9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817" w:type="dxa"/>
            <w:vAlign w:val="center"/>
          </w:tcPr>
          <w:p w14:paraId="4396DC0C">
            <w:pPr>
              <w:widowControl/>
              <w:tabs>
                <w:tab w:val="left" w:pos="6120"/>
              </w:tabs>
              <w:adjustRightInd w:val="0"/>
              <w:spacing w:before="31" w:beforeLines="10" w:after="31" w:afterLines="10" w:line="320" w:lineRule="exact"/>
              <w:jc w:val="center"/>
              <w:textAlignment w:val="baseline"/>
              <w:rPr>
                <w:rFonts w:hint="eastAsia" w:ascii="宋体" w:hAnsi="宋体" w:eastAsia="宋体"/>
                <w:bCs/>
                <w:kern w:val="0"/>
                <w:position w:val="2"/>
                <w:u w:color="000000"/>
                <w:lang w:val="en-US" w:eastAsia="zh-CN"/>
              </w:rPr>
            </w:pPr>
            <w:r>
              <w:rPr>
                <w:rFonts w:hint="eastAsia" w:ascii="宋体" w:hAnsi="宋体"/>
                <w:bCs/>
                <w:kern w:val="0"/>
                <w:position w:val="2"/>
                <w:u w:color="000000"/>
                <w:lang w:val="en-US" w:eastAsia="zh-CN"/>
              </w:rPr>
              <w:t>3</w:t>
            </w:r>
          </w:p>
        </w:tc>
        <w:tc>
          <w:tcPr>
            <w:tcW w:w="3845" w:type="dxa"/>
            <w:vAlign w:val="center"/>
          </w:tcPr>
          <w:p w14:paraId="0D849AE5">
            <w:pPr>
              <w:widowControl/>
              <w:tabs>
                <w:tab w:val="left" w:pos="6120"/>
              </w:tabs>
              <w:adjustRightInd w:val="0"/>
              <w:spacing w:before="31" w:beforeLines="10" w:after="31" w:afterLines="10" w:line="320" w:lineRule="exact"/>
              <w:jc w:val="center"/>
              <w:textAlignment w:val="baseline"/>
              <w:rPr>
                <w:rFonts w:ascii="宋体" w:hAnsi="宋体"/>
                <w:kern w:val="0"/>
                <w:u w:color="000000"/>
              </w:rPr>
            </w:pPr>
            <w:r>
              <w:rPr>
                <w:rFonts w:hint="eastAsia" w:ascii="宋体" w:hAnsi="宋体"/>
                <w:kern w:val="0"/>
                <w:u w:color="000000"/>
              </w:rPr>
              <w:t>人体静电释放器距卸油口不足1.5m；</w:t>
            </w:r>
          </w:p>
        </w:tc>
        <w:tc>
          <w:tcPr>
            <w:tcW w:w="4740" w:type="dxa"/>
            <w:vAlign w:val="center"/>
          </w:tcPr>
          <w:p w14:paraId="3336F133">
            <w:pPr>
              <w:widowControl/>
              <w:tabs>
                <w:tab w:val="left" w:pos="6120"/>
              </w:tabs>
              <w:adjustRightInd w:val="0"/>
              <w:spacing w:before="31" w:beforeLines="10" w:after="31" w:afterLines="10" w:line="320" w:lineRule="exact"/>
              <w:jc w:val="center"/>
              <w:textAlignment w:val="baseline"/>
              <w:rPr>
                <w:rFonts w:ascii="宋体" w:hAnsi="宋体"/>
                <w:kern w:val="0"/>
                <w:u w:color="000000"/>
              </w:rPr>
            </w:pPr>
            <w:r>
              <w:rPr>
                <w:rFonts w:hint="eastAsia" w:ascii="宋体" w:hAnsi="宋体"/>
                <w:kern w:val="0"/>
                <w:u w:color="000000"/>
              </w:rPr>
              <w:t>人体静电释放器距卸油口应不少于1.5</w:t>
            </w:r>
            <w:r>
              <w:rPr>
                <w:rFonts w:hint="eastAsia" w:ascii="宋体" w:hAnsi="宋体"/>
                <w:kern w:val="0"/>
                <w:u w:color="000000"/>
                <w:lang w:val="en-US" w:eastAsia="zh-CN"/>
              </w:rPr>
              <w:t>m</w:t>
            </w:r>
            <w:r>
              <w:rPr>
                <w:rFonts w:hint="eastAsia" w:ascii="宋体" w:hAnsi="宋体"/>
                <w:kern w:val="0"/>
                <w:u w:color="000000"/>
              </w:rPr>
              <w:t>。</w:t>
            </w:r>
          </w:p>
        </w:tc>
      </w:tr>
    </w:tbl>
    <w:p w14:paraId="2E9EE127">
      <w:pPr>
        <w:tabs>
          <w:tab w:val="left" w:pos="698"/>
        </w:tabs>
        <w:ind w:firstLine="560" w:firstLineChars="200"/>
        <w:jc w:val="left"/>
        <w:rPr>
          <w:kern w:val="0"/>
          <w:sz w:val="28"/>
          <w:szCs w:val="20"/>
        </w:rPr>
        <w:sectPr>
          <w:pgSz w:w="11906" w:h="16838"/>
          <w:pgMar w:top="1417" w:right="1134" w:bottom="1134" w:left="1361" w:header="850" w:footer="340" w:gutter="0"/>
          <w:cols w:space="720" w:num="1"/>
          <w:docGrid w:type="lines" w:linePitch="312" w:charSpace="0"/>
        </w:sectPr>
      </w:pPr>
      <w:r>
        <w:rPr>
          <w:rFonts w:hint="eastAsia" w:ascii="宋体"/>
          <w:kern w:val="0"/>
          <w:sz w:val="28"/>
          <w:szCs w:val="20"/>
        </w:rPr>
        <w:t>该加油站在安全管理、站址选择及总平面布置、加油工艺及设施、其它设施等方面符合有关法律、标准规范的要求。</w:t>
      </w:r>
    </w:p>
    <w:p w14:paraId="03F949D0">
      <w:pPr>
        <w:pStyle w:val="2"/>
        <w:ind w:left="0" w:leftChars="0" w:firstLine="0" w:firstLineChars="0"/>
        <w:rPr>
          <w:rFonts w:hint="eastAsia" w:eastAsia="宋体"/>
          <w:lang w:eastAsia="zh-CN"/>
        </w:rPr>
      </w:pPr>
      <w:r>
        <w:rPr>
          <w:rFonts w:hint="eastAsia" w:eastAsia="宋体"/>
          <w:lang w:val="en-US" w:eastAsia="zh-CN"/>
        </w:rPr>
        <w:t xml:space="preserve">  </w:t>
      </w:r>
      <w:r>
        <w:rPr>
          <w:rFonts w:hint="eastAsia" w:eastAsia="宋体"/>
          <w:lang w:eastAsia="zh-CN"/>
        </w:rPr>
        <w:drawing>
          <wp:inline distT="0" distB="0" distL="114300" distR="114300">
            <wp:extent cx="5549265" cy="8841105"/>
            <wp:effectExtent l="0" t="0" r="635" b="10795"/>
            <wp:docPr id="6" name="图片 6" descr="c4bb19dfafe225162bd1d4bd39fb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4bb19dfafe225162bd1d4bd39fb585"/>
                    <pic:cNvPicPr>
                      <a:picLocks noChangeAspect="1"/>
                    </pic:cNvPicPr>
                  </pic:nvPicPr>
                  <pic:blipFill>
                    <a:blip r:embed="rId11"/>
                    <a:srcRect/>
                    <a:stretch>
                      <a:fillRect/>
                    </a:stretch>
                  </pic:blipFill>
                  <pic:spPr>
                    <a:xfrm>
                      <a:off x="0" y="0"/>
                      <a:ext cx="5549265" cy="8841105"/>
                    </a:xfrm>
                    <a:prstGeom prst="rect">
                      <a:avLst/>
                    </a:prstGeom>
                  </pic:spPr>
                </pic:pic>
              </a:graphicData>
            </a:graphic>
          </wp:inline>
        </w:drawing>
      </w:r>
    </w:p>
    <w:p w14:paraId="6BAD5BCF">
      <w:pPr>
        <w:pStyle w:val="2"/>
        <w:ind w:left="0" w:leftChars="0" w:firstLine="0" w:firstLineChars="0"/>
        <w:rPr>
          <w:rFonts w:hint="eastAsia" w:eastAsia="宋体"/>
          <w:lang w:eastAsia="zh-CN"/>
        </w:rPr>
      </w:pPr>
      <w:r>
        <w:rPr>
          <w:rFonts w:hint="eastAsia" w:eastAsia="宋体"/>
          <w:lang w:val="en-US" w:eastAsia="zh-CN"/>
        </w:rPr>
        <w:t xml:space="preserve">   </w:t>
      </w:r>
      <w:r>
        <w:rPr>
          <w:rFonts w:hint="eastAsia" w:eastAsia="宋体"/>
          <w:lang w:eastAsia="zh-CN"/>
        </w:rPr>
        <w:drawing>
          <wp:inline distT="0" distB="0" distL="114300" distR="114300">
            <wp:extent cx="5416550" cy="8718550"/>
            <wp:effectExtent l="0" t="0" r="6350" b="6350"/>
            <wp:docPr id="7" name="图片 7" descr="6bf98641066f443fdae018120e094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bf98641066f443fdae018120e0940c"/>
                    <pic:cNvPicPr>
                      <a:picLocks noChangeAspect="1"/>
                    </pic:cNvPicPr>
                  </pic:nvPicPr>
                  <pic:blipFill>
                    <a:blip r:embed="rId12"/>
                    <a:srcRect/>
                    <a:stretch>
                      <a:fillRect/>
                    </a:stretch>
                  </pic:blipFill>
                  <pic:spPr>
                    <a:xfrm>
                      <a:off x="0" y="0"/>
                      <a:ext cx="5416550" cy="8718550"/>
                    </a:xfrm>
                    <a:prstGeom prst="rect">
                      <a:avLst/>
                    </a:prstGeom>
                  </pic:spPr>
                </pic:pic>
              </a:graphicData>
            </a:graphic>
          </wp:inline>
        </w:drawing>
      </w:r>
    </w:p>
    <w:sectPr>
      <w:pgSz w:w="11906" w:h="16838"/>
      <w:pgMar w:top="1440" w:right="1134" w:bottom="1440"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MGNkYjBkMDkzYWY3ZjdlZTlmNGIwMTVmZWNkYjQifQ=="/>
  </w:docVars>
  <w:rsids>
    <w:rsidRoot w:val="5602352B"/>
    <w:rsid w:val="536F406F"/>
    <w:rsid w:val="5602352B"/>
    <w:rsid w:val="709D7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 w:val="28"/>
      <w:szCs w:val="20"/>
      <w:u w:color="000000"/>
    </w:rPr>
  </w:style>
  <w:style w:type="character" w:styleId="5">
    <w:name w:val="annotation reference"/>
    <w:qFormat/>
    <w:uiPriority w:val="99"/>
    <w:rPr>
      <w:sz w:val="21"/>
      <w:szCs w:val="21"/>
    </w:rPr>
  </w:style>
  <w:style w:type="paragraph" w:customStyle="1" w:styleId="6">
    <w:name w:val="Table Text"/>
    <w:basedOn w:val="1"/>
    <w:semiHidden/>
    <w:qFormat/>
    <w:uiPriority w:val="0"/>
    <w:rPr>
      <w:rFonts w:ascii="宋体" w:hAnsi="宋体" w:eastAsia="宋体" w:cs="宋体"/>
      <w:sz w:val="20"/>
      <w:szCs w:val="20"/>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6评价正文"/>
    <w:autoRedefine/>
    <w:qFormat/>
    <w:uiPriority w:val="0"/>
    <w:pPr>
      <w:spacing w:line="520" w:lineRule="exact"/>
      <w:ind w:firstLine="200" w:firstLineChars="200"/>
      <w:jc w:val="both"/>
    </w:pPr>
    <w:rPr>
      <w:rFonts w:ascii="Times New Roman" w:hAnsi="Times New Roman" w:eastAsia="宋体" w:cs="Times New Roman"/>
      <w:sz w:val="28"/>
      <w:lang w:val="en-US" w:eastAsia="zh-CN" w:bidi="ar-SA"/>
    </w:rPr>
  </w:style>
  <w:style w:type="paragraph" w:customStyle="1" w:styleId="9">
    <w:name w:val="1评价标题"/>
    <w:autoRedefine/>
    <w:qFormat/>
    <w:uiPriority w:val="0"/>
    <w:pPr>
      <w:pageBreakBefore/>
      <w:spacing w:before="100" w:beforeLines="100" w:after="100" w:afterLines="100" w:line="520" w:lineRule="exact"/>
      <w:jc w:val="center"/>
      <w:outlineLvl w:val="0"/>
    </w:pPr>
    <w:rPr>
      <w:rFonts w:ascii="Times New Roman" w:hAnsi="Times New Roman" w:eastAsia="黑体" w:cs="Times New Roman"/>
      <w:kern w:val="2"/>
      <w:sz w:val="32"/>
      <w:szCs w:val="21"/>
      <w:lang w:val="en-US" w:eastAsia="zh-CN" w:bidi="ar-SA"/>
    </w:rPr>
  </w:style>
  <w:style w:type="paragraph" w:customStyle="1" w:styleId="10">
    <w:name w:val="5标题评价表格"/>
    <w:autoRedefine/>
    <w:qFormat/>
    <w:uiPriority w:val="0"/>
    <w:pPr>
      <w:spacing w:line="520" w:lineRule="exact"/>
      <w:jc w:val="center"/>
      <w:outlineLvl w:val="4"/>
    </w:pPr>
    <w:rPr>
      <w:rFonts w:ascii="Times New Roman" w:hAnsi="Times New Roman" w:eastAsia="黑体" w:cs="Times New Roman"/>
      <w:kern w:val="2"/>
      <w:sz w:val="24"/>
      <w:szCs w:val="28"/>
      <w:u w:color="000000"/>
      <w:lang w:val="en-US" w:eastAsia="zh-CN" w:bidi="ar-SA"/>
    </w:rPr>
  </w:style>
  <w:style w:type="paragraph" w:customStyle="1" w:styleId="11">
    <w:name w:val="5内容评价表格"/>
    <w:autoRedefine/>
    <w:qFormat/>
    <w:uiPriority w:val="0"/>
    <w:pPr>
      <w:spacing w:line="300" w:lineRule="exact"/>
      <w:jc w:val="center"/>
    </w:pPr>
    <w:rPr>
      <w:rFonts w:ascii="Times New Roman" w:hAnsi="Times New Roman" w:eastAsia="宋体" w:cs="Times New Roman"/>
      <w:kern w:val="2"/>
      <w:sz w:val="21"/>
      <w:szCs w:val="21"/>
      <w:u w:color="000000"/>
      <w:lang w:val="en-US" w:eastAsia="zh-CN" w:bidi="ar-SA"/>
    </w:rPr>
  </w:style>
  <w:style w:type="paragraph" w:customStyle="1" w:styleId="12">
    <w:name w:val="7评价备注"/>
    <w:autoRedefine/>
    <w:qFormat/>
    <w:uiPriority w:val="0"/>
    <w:pPr>
      <w:spacing w:line="400" w:lineRule="exact"/>
      <w:ind w:firstLine="200" w:firstLineChars="200"/>
    </w:pPr>
    <w:rPr>
      <w:rFonts w:ascii="Times New Roman" w:hAnsi="Times New Roman" w:eastAsia="黑体" w:cs="Times New Roman"/>
      <w:spacing w:val="4"/>
      <w:kern w:val="2"/>
      <w:sz w:val="21"/>
      <w:szCs w:val="24"/>
      <w:lang w:val="en-US" w:eastAsia="zh-CN" w:bidi="ar-SA"/>
    </w:rPr>
  </w:style>
  <w:style w:type="paragraph" w:customStyle="1" w:styleId="13">
    <w:name w:val="3评价标题"/>
    <w:autoRedefine/>
    <w:qFormat/>
    <w:uiPriority w:val="0"/>
    <w:pPr>
      <w:spacing w:line="520" w:lineRule="exact"/>
      <w:ind w:firstLine="200" w:firstLineChars="200"/>
      <w:outlineLvl w:val="2"/>
    </w:pPr>
    <w:rPr>
      <w:rFonts w:ascii="Times New Roman" w:hAnsi="Times New Roman" w:eastAsia="黑体" w:cs="Times New Roman"/>
      <w:sz w:val="28"/>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2386</Words>
  <Characters>2694</Characters>
  <Lines>0</Lines>
  <Paragraphs>0</Paragraphs>
  <TotalTime>0</TotalTime>
  <ScaleCrop>false</ScaleCrop>
  <LinksUpToDate>false</LinksUpToDate>
  <CharactersWithSpaces>5954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2024-09-24T01:23:00Z</dcterms:created>
  <dc:creator>Administrator</dc:creator>
  <cp:lastModifiedBy>心晴</cp:lastModifiedBy>
  <dcterms:modified xsi:type="dcterms:W3CDTF">2025-02-25T01:49:29Z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DC3B63DB65FB40D3A24FF1CF2CB86E9B_11</vt:lpwstr>
  </property>
  <property fmtid="{D5CDD505-2E9C-101B-9397-08002B2CF9AE}" pid="4" name="KSOTemplateDocerSaveRecord">
    <vt:lpwstr>eyJoZGlkIjoiZjMxZWMwZmRjMzZlYzM2NWRiYjJmYjFkYTJjZWJiMTciLCJ1c2VySWQiOiIyODI5NjIyNzIifQ==</vt:lpwstr>
  </property>
</Properties>
</file>