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75E4E5">
      <w:pPr>
        <w:jc w:val="both"/>
        <w:rPr>
          <w:rFonts w:hint="eastAsia" w:ascii="Times New Roman" w:hAnsi="Times New Roman"/>
          <w:kern w:val="0"/>
          <w:sz w:val="28"/>
          <w:szCs w:val="28"/>
          <w:shd w:val="clear" w:color="auto" w:fill="FFFFFF"/>
        </w:rPr>
      </w:pPr>
    </w:p>
    <w:p w14:paraId="59618447">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5"/>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373CD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68DE56CE">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20B9C570">
            <w:pPr>
              <w:widowControl/>
              <w:spacing w:after="150"/>
              <w:jc w:val="center"/>
              <w:rPr>
                <w:rFonts w:ascii="宋体" w:hAnsi="宋体" w:cs="宋体"/>
                <w:sz w:val="24"/>
              </w:rPr>
            </w:pPr>
            <w:r>
              <w:rPr>
                <w:rFonts w:hint="eastAsia"/>
                <w:lang w:val="en-US"/>
              </w:rPr>
              <w:t>江西海瑞天然植物有限公司年产325吨植物油生产技改项目（一期）安全验收评价报告</w:t>
            </w:r>
          </w:p>
        </w:tc>
      </w:tr>
      <w:tr w14:paraId="7C1C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5AE2E23C">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5D51C70B">
            <w:pPr>
              <w:widowControl/>
              <w:spacing w:after="150"/>
              <w:jc w:val="center"/>
              <w:rPr>
                <w:rFonts w:ascii="宋体" w:hAnsi="宋体" w:cs="宋体"/>
                <w:sz w:val="24"/>
              </w:rPr>
            </w:pPr>
            <w:r>
              <w:rPr>
                <w:rFonts w:hint="eastAsia" w:ascii="宋体" w:hAnsi="宋体" w:cs="宋体"/>
                <w:sz w:val="24"/>
              </w:rPr>
              <w:t>2024年1</w:t>
            </w:r>
            <w:r>
              <w:rPr>
                <w:rFonts w:ascii="宋体" w:hAnsi="宋体" w:cs="宋体"/>
                <w:sz w:val="24"/>
              </w:rPr>
              <w:t>2</w:t>
            </w:r>
            <w:r>
              <w:rPr>
                <w:rFonts w:hint="eastAsia" w:ascii="宋体" w:hAnsi="宋体" w:cs="宋体"/>
                <w:sz w:val="24"/>
              </w:rPr>
              <w:t>月</w:t>
            </w:r>
          </w:p>
        </w:tc>
      </w:tr>
      <w:tr w14:paraId="0A60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1A712124">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108E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5378F62E">
            <w:pPr>
              <w:jc w:val="center"/>
              <w:rPr>
                <w:rFonts w:ascii="宋体" w:hAnsi="宋体" w:cs="宋体"/>
                <w:sz w:val="24"/>
              </w:rPr>
            </w:pPr>
          </w:p>
        </w:tc>
        <w:tc>
          <w:tcPr>
            <w:tcW w:w="1237" w:type="dxa"/>
            <w:tcBorders>
              <w:tl2br w:val="nil"/>
              <w:tr2bl w:val="nil"/>
            </w:tcBorders>
            <w:shd w:val="clear" w:color="auto" w:fill="FFFFFF"/>
            <w:vAlign w:val="center"/>
          </w:tcPr>
          <w:p w14:paraId="7DF4D41E">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0B76ABB8">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271448A8">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9DC7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2A157C85">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2AD910A2">
            <w:pPr>
              <w:jc w:val="center"/>
              <w:rPr>
                <w:rFonts w:ascii="宋体" w:hAnsi="宋体" w:cs="宋体"/>
                <w:sz w:val="24"/>
              </w:rPr>
            </w:pPr>
            <w:r>
              <w:rPr>
                <w:rFonts w:hint="eastAsia" w:ascii="宋体" w:hAnsi="宋体" w:cs="宋体"/>
                <w:sz w:val="24"/>
              </w:rPr>
              <w:t>徐顺星</w:t>
            </w:r>
          </w:p>
        </w:tc>
        <w:tc>
          <w:tcPr>
            <w:tcW w:w="4803" w:type="dxa"/>
            <w:tcBorders>
              <w:tl2br w:val="nil"/>
              <w:tr2bl w:val="nil"/>
            </w:tcBorders>
            <w:shd w:val="clear" w:color="auto" w:fill="FFFFFF"/>
            <w:vAlign w:val="center"/>
          </w:tcPr>
          <w:p w14:paraId="42F3313A">
            <w:pPr>
              <w:jc w:val="center"/>
              <w:rPr>
                <w:rFonts w:ascii="宋体" w:hAnsi="宋体" w:cs="宋体"/>
                <w:sz w:val="24"/>
              </w:rPr>
            </w:pPr>
            <w:r>
              <w:rPr>
                <w:rFonts w:hint="eastAsia" w:ascii="宋体" w:hAnsi="宋体" w:cs="宋体"/>
                <w:sz w:val="24"/>
              </w:rPr>
              <w:t>S011041000110192002229</w:t>
            </w:r>
          </w:p>
        </w:tc>
        <w:tc>
          <w:tcPr>
            <w:tcW w:w="2115" w:type="dxa"/>
            <w:tcBorders>
              <w:tl2br w:val="nil"/>
              <w:tr2bl w:val="nil"/>
            </w:tcBorders>
            <w:shd w:val="clear" w:color="auto" w:fill="FFFFFF"/>
            <w:vAlign w:val="center"/>
          </w:tcPr>
          <w:p w14:paraId="5954E4E9">
            <w:pPr>
              <w:widowControl/>
              <w:jc w:val="center"/>
              <w:rPr>
                <w:rFonts w:ascii="宋体" w:hAnsi="宋体" w:cs="宋体"/>
                <w:sz w:val="24"/>
              </w:rPr>
            </w:pPr>
            <w:r>
              <w:rPr>
                <w:rFonts w:hint="eastAsia" w:ascii="宋体" w:hAnsi="宋体" w:cs="宋体"/>
                <w:sz w:val="24"/>
              </w:rPr>
              <w:t>018803</w:t>
            </w:r>
          </w:p>
        </w:tc>
      </w:tr>
      <w:tr w14:paraId="5AC08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58DF1A50">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7C70241C">
            <w:pPr>
              <w:jc w:val="center"/>
              <w:rPr>
                <w:rFonts w:ascii="宋体" w:hAnsi="宋体" w:cs="宋体"/>
                <w:sz w:val="24"/>
              </w:rPr>
            </w:pPr>
            <w:r>
              <w:rPr>
                <w:rFonts w:hint="eastAsia" w:ascii="宋体" w:hAnsi="宋体" w:cs="宋体"/>
                <w:sz w:val="24"/>
              </w:rPr>
              <w:t>吴红玉</w:t>
            </w:r>
          </w:p>
        </w:tc>
        <w:tc>
          <w:tcPr>
            <w:tcW w:w="4803" w:type="dxa"/>
            <w:tcBorders>
              <w:tl2br w:val="nil"/>
              <w:tr2bl w:val="nil"/>
            </w:tcBorders>
            <w:shd w:val="clear" w:color="auto" w:fill="FFFFFF"/>
            <w:vAlign w:val="center"/>
          </w:tcPr>
          <w:p w14:paraId="1484D1DC">
            <w:pPr>
              <w:jc w:val="center"/>
              <w:rPr>
                <w:rFonts w:ascii="宋体" w:hAnsi="宋体" w:cs="宋体"/>
                <w:sz w:val="24"/>
              </w:rPr>
            </w:pPr>
            <w:r>
              <w:rPr>
                <w:rFonts w:hint="eastAsia" w:ascii="宋体" w:hAnsi="宋体" w:cs="宋体"/>
                <w:sz w:val="24"/>
              </w:rPr>
              <w:t>1200000000300398</w:t>
            </w:r>
          </w:p>
        </w:tc>
        <w:tc>
          <w:tcPr>
            <w:tcW w:w="2115" w:type="dxa"/>
            <w:tcBorders>
              <w:tl2br w:val="nil"/>
              <w:tr2bl w:val="nil"/>
            </w:tcBorders>
            <w:shd w:val="clear" w:color="auto" w:fill="FFFFFF"/>
            <w:vAlign w:val="center"/>
          </w:tcPr>
          <w:p w14:paraId="782951DB">
            <w:pPr>
              <w:jc w:val="center"/>
              <w:rPr>
                <w:rFonts w:ascii="宋体" w:hAnsi="宋体" w:cs="宋体"/>
                <w:sz w:val="24"/>
              </w:rPr>
            </w:pPr>
            <w:r>
              <w:rPr>
                <w:rFonts w:hint="eastAsia" w:ascii="宋体" w:hAnsi="宋体" w:cs="宋体"/>
                <w:sz w:val="24"/>
              </w:rPr>
              <w:t>025175</w:t>
            </w:r>
          </w:p>
        </w:tc>
      </w:tr>
      <w:tr w14:paraId="66394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0887BEAF">
            <w:pPr>
              <w:jc w:val="center"/>
              <w:rPr>
                <w:rFonts w:ascii="宋体" w:hAnsi="宋体" w:cs="宋体"/>
                <w:sz w:val="24"/>
              </w:rPr>
            </w:pPr>
          </w:p>
        </w:tc>
        <w:tc>
          <w:tcPr>
            <w:tcW w:w="1237" w:type="dxa"/>
            <w:tcBorders>
              <w:tl2br w:val="nil"/>
              <w:tr2bl w:val="nil"/>
            </w:tcBorders>
            <w:shd w:val="clear" w:color="auto" w:fill="FFFFFF"/>
            <w:vAlign w:val="center"/>
          </w:tcPr>
          <w:p w14:paraId="3AECF605">
            <w:pPr>
              <w:jc w:val="center"/>
              <w:rPr>
                <w:rFonts w:ascii="宋体" w:hAnsi="宋体" w:cs="宋体"/>
                <w:sz w:val="24"/>
              </w:rPr>
            </w:pPr>
            <w:r>
              <w:rPr>
                <w:rFonts w:hint="eastAsia" w:ascii="宋体" w:hAnsi="宋体" w:cs="宋体"/>
                <w:sz w:val="24"/>
              </w:rPr>
              <w:t>韦根远</w:t>
            </w:r>
          </w:p>
        </w:tc>
        <w:tc>
          <w:tcPr>
            <w:tcW w:w="4803" w:type="dxa"/>
            <w:tcBorders>
              <w:tl2br w:val="nil"/>
              <w:tr2bl w:val="nil"/>
            </w:tcBorders>
            <w:shd w:val="clear" w:color="auto" w:fill="FFFFFF"/>
            <w:vAlign w:val="center"/>
          </w:tcPr>
          <w:p w14:paraId="3F218D8D">
            <w:pPr>
              <w:jc w:val="center"/>
              <w:rPr>
                <w:rFonts w:ascii="宋体" w:hAnsi="宋体" w:cs="宋体"/>
                <w:sz w:val="24"/>
              </w:rPr>
            </w:pPr>
            <w:r>
              <w:rPr>
                <w:rFonts w:hint="eastAsia" w:ascii="宋体" w:hAnsi="宋体" w:cs="宋体"/>
                <w:sz w:val="24"/>
              </w:rPr>
              <w:t>S011044000110191001083</w:t>
            </w:r>
          </w:p>
        </w:tc>
        <w:tc>
          <w:tcPr>
            <w:tcW w:w="2115" w:type="dxa"/>
            <w:tcBorders>
              <w:tl2br w:val="nil"/>
              <w:tr2bl w:val="nil"/>
            </w:tcBorders>
            <w:shd w:val="clear" w:color="auto" w:fill="FFFFFF"/>
            <w:vAlign w:val="center"/>
          </w:tcPr>
          <w:p w14:paraId="0F0D8BA0">
            <w:pPr>
              <w:jc w:val="center"/>
              <w:rPr>
                <w:rFonts w:ascii="宋体" w:hAnsi="宋体" w:cs="宋体"/>
                <w:sz w:val="24"/>
              </w:rPr>
            </w:pPr>
            <w:r>
              <w:rPr>
                <w:rFonts w:hint="eastAsia" w:ascii="宋体" w:hAnsi="宋体" w:cs="宋体"/>
                <w:sz w:val="24"/>
              </w:rPr>
              <w:t>028179</w:t>
            </w:r>
          </w:p>
        </w:tc>
      </w:tr>
      <w:tr w14:paraId="1D69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2BC1C2A7">
            <w:pPr>
              <w:jc w:val="center"/>
              <w:rPr>
                <w:rFonts w:ascii="宋体" w:hAnsi="宋体" w:cs="宋体"/>
                <w:sz w:val="24"/>
              </w:rPr>
            </w:pPr>
          </w:p>
        </w:tc>
        <w:tc>
          <w:tcPr>
            <w:tcW w:w="1237" w:type="dxa"/>
            <w:tcBorders>
              <w:tl2br w:val="nil"/>
              <w:tr2bl w:val="nil"/>
            </w:tcBorders>
            <w:shd w:val="clear" w:color="auto" w:fill="FFFFFF"/>
            <w:vAlign w:val="center"/>
          </w:tcPr>
          <w:p w14:paraId="49EA8F9A">
            <w:pPr>
              <w:jc w:val="center"/>
              <w:rPr>
                <w:rFonts w:ascii="宋体" w:hAnsi="宋体" w:cs="宋体"/>
                <w:sz w:val="24"/>
              </w:rPr>
            </w:pPr>
            <w:r>
              <w:rPr>
                <w:rFonts w:hint="eastAsia" w:ascii="宋体" w:hAnsi="宋体" w:cs="宋体"/>
                <w:sz w:val="24"/>
              </w:rPr>
              <w:t>岳强</w:t>
            </w:r>
          </w:p>
        </w:tc>
        <w:tc>
          <w:tcPr>
            <w:tcW w:w="4803" w:type="dxa"/>
            <w:tcBorders>
              <w:tl2br w:val="nil"/>
              <w:tr2bl w:val="nil"/>
            </w:tcBorders>
            <w:shd w:val="clear" w:color="auto" w:fill="FFFFFF"/>
            <w:vAlign w:val="center"/>
          </w:tcPr>
          <w:p w14:paraId="11639DF4">
            <w:pPr>
              <w:jc w:val="center"/>
              <w:rPr>
                <w:rFonts w:ascii="宋体" w:hAnsi="宋体" w:cs="宋体"/>
                <w:sz w:val="24"/>
              </w:rPr>
            </w:pPr>
            <w:r>
              <w:rPr>
                <w:rFonts w:hint="eastAsia" w:ascii="宋体" w:hAnsi="宋体" w:cs="宋体"/>
                <w:sz w:val="24"/>
              </w:rPr>
              <w:t>0800000000102212</w:t>
            </w:r>
          </w:p>
        </w:tc>
        <w:tc>
          <w:tcPr>
            <w:tcW w:w="2115" w:type="dxa"/>
            <w:tcBorders>
              <w:tl2br w:val="nil"/>
              <w:tr2bl w:val="nil"/>
            </w:tcBorders>
            <w:shd w:val="clear" w:color="auto" w:fill="FFFFFF"/>
            <w:vAlign w:val="center"/>
          </w:tcPr>
          <w:p w14:paraId="40BC3936">
            <w:pPr>
              <w:jc w:val="center"/>
              <w:rPr>
                <w:rFonts w:ascii="宋体" w:hAnsi="宋体" w:cs="宋体"/>
                <w:sz w:val="24"/>
              </w:rPr>
            </w:pPr>
            <w:r>
              <w:rPr>
                <w:rFonts w:hint="eastAsia" w:ascii="宋体" w:hAnsi="宋体" w:cs="宋体"/>
                <w:sz w:val="24"/>
              </w:rPr>
              <w:t>002352</w:t>
            </w:r>
          </w:p>
        </w:tc>
      </w:tr>
      <w:tr w14:paraId="160E2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6906CDEE">
            <w:pPr>
              <w:jc w:val="center"/>
              <w:rPr>
                <w:rFonts w:ascii="宋体" w:hAnsi="宋体" w:cs="宋体"/>
                <w:sz w:val="24"/>
              </w:rPr>
            </w:pPr>
          </w:p>
        </w:tc>
        <w:tc>
          <w:tcPr>
            <w:tcW w:w="1237" w:type="dxa"/>
            <w:tcBorders>
              <w:tl2br w:val="nil"/>
              <w:tr2bl w:val="nil"/>
            </w:tcBorders>
            <w:shd w:val="clear" w:color="auto" w:fill="FFFFFF"/>
            <w:vAlign w:val="center"/>
          </w:tcPr>
          <w:p w14:paraId="71F8DBD5">
            <w:pPr>
              <w:jc w:val="center"/>
              <w:rPr>
                <w:rFonts w:ascii="宋体" w:hAnsi="宋体" w:cs="宋体"/>
                <w:sz w:val="24"/>
              </w:rPr>
            </w:pPr>
            <w:r>
              <w:rPr>
                <w:rFonts w:hint="eastAsia" w:ascii="宋体" w:hAnsi="宋体" w:cs="宋体"/>
                <w:sz w:val="24"/>
              </w:rPr>
              <w:t>张晋慧</w:t>
            </w:r>
          </w:p>
        </w:tc>
        <w:tc>
          <w:tcPr>
            <w:tcW w:w="4803" w:type="dxa"/>
            <w:tcBorders>
              <w:tl2br w:val="nil"/>
              <w:tr2bl w:val="nil"/>
            </w:tcBorders>
            <w:shd w:val="clear" w:color="auto" w:fill="FFFFFF"/>
            <w:vAlign w:val="center"/>
          </w:tcPr>
          <w:p w14:paraId="331FAC55">
            <w:pPr>
              <w:jc w:val="center"/>
              <w:rPr>
                <w:rFonts w:ascii="宋体" w:hAnsi="宋体" w:cs="宋体"/>
                <w:sz w:val="24"/>
              </w:rPr>
            </w:pPr>
            <w:r>
              <w:rPr>
                <w:rFonts w:hint="eastAsia" w:ascii="宋体" w:hAnsi="宋体" w:cs="宋体"/>
                <w:sz w:val="24"/>
              </w:rPr>
              <w:t>1100000000302946</w:t>
            </w:r>
          </w:p>
        </w:tc>
        <w:tc>
          <w:tcPr>
            <w:tcW w:w="2115" w:type="dxa"/>
            <w:tcBorders>
              <w:tl2br w:val="nil"/>
              <w:tr2bl w:val="nil"/>
            </w:tcBorders>
            <w:shd w:val="clear" w:color="auto" w:fill="FFFFFF"/>
            <w:vAlign w:val="center"/>
          </w:tcPr>
          <w:p w14:paraId="23566468">
            <w:pPr>
              <w:jc w:val="center"/>
              <w:rPr>
                <w:rFonts w:ascii="宋体" w:hAnsi="宋体" w:cs="宋体"/>
                <w:sz w:val="24"/>
              </w:rPr>
            </w:pPr>
            <w:r>
              <w:rPr>
                <w:rFonts w:hint="eastAsia" w:ascii="宋体" w:hAnsi="宋体" w:cs="宋体"/>
                <w:sz w:val="24"/>
              </w:rPr>
              <w:t>020045</w:t>
            </w:r>
          </w:p>
        </w:tc>
      </w:tr>
      <w:tr w14:paraId="543F5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9B802E8">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0A57008B">
            <w:pPr>
              <w:jc w:val="center"/>
              <w:rPr>
                <w:rFonts w:ascii="宋体" w:hAnsi="宋体" w:cs="宋体"/>
                <w:sz w:val="24"/>
              </w:rPr>
            </w:pPr>
            <w:r>
              <w:rPr>
                <w:rFonts w:hint="eastAsia" w:ascii="宋体" w:hAnsi="宋体" w:cs="宋体"/>
                <w:sz w:val="24"/>
              </w:rPr>
              <w:t>/</w:t>
            </w:r>
          </w:p>
        </w:tc>
      </w:tr>
      <w:tr w14:paraId="4686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041177EC">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1D05DF95">
            <w:pPr>
              <w:widowControl/>
              <w:spacing w:after="150"/>
              <w:jc w:val="center"/>
              <w:rPr>
                <w:rFonts w:hint="default" w:ascii="Times New Roman" w:hAnsi="Times New Roman" w:eastAsia="宋体"/>
                <w:sz w:val="24"/>
                <w:lang w:val="en-US" w:eastAsia="zh-CN"/>
              </w:rPr>
            </w:pPr>
            <w:r>
              <w:rPr>
                <w:rFonts w:hint="eastAsia" w:ascii="Times New Roman" w:hAnsi="Times New Roman"/>
                <w:sz w:val="24"/>
                <w:lang w:val="en-US" w:eastAsia="zh-CN"/>
              </w:rPr>
              <w:t>熊克书</w:t>
            </w:r>
            <w:r>
              <w:rPr>
                <w:rFonts w:hint="eastAsia"/>
                <w:sz w:val="24"/>
              </w:rPr>
              <w:t>2024.</w:t>
            </w:r>
            <w:r>
              <w:rPr>
                <w:sz w:val="24"/>
              </w:rPr>
              <w:t>1</w:t>
            </w:r>
            <w:r>
              <w:rPr>
                <w:rFonts w:hint="eastAsia"/>
                <w:sz w:val="24"/>
                <w:lang w:val="en-US" w:eastAsia="zh-CN"/>
              </w:rPr>
              <w:t>0.15</w:t>
            </w:r>
          </w:p>
        </w:tc>
      </w:tr>
      <w:tr w14:paraId="3F19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73143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25FE7179">
            <w:pPr>
              <w:widowControl/>
              <w:spacing w:after="150"/>
              <w:jc w:val="center"/>
              <w:rPr>
                <w:rFonts w:hint="eastAsia" w:ascii="Times New Roman" w:hAnsi="Times New Roman" w:eastAsia="宋体"/>
                <w:color w:val="FF0000"/>
                <w:sz w:val="24"/>
                <w:lang w:val="en-US" w:eastAsia="zh-CN"/>
              </w:rPr>
            </w:pPr>
            <w:r>
              <w:rPr>
                <w:rFonts w:hint="eastAsia" w:ascii="Times New Roman" w:hAnsi="Times New Roman"/>
                <w:sz w:val="24"/>
                <w:lang w:val="en-US" w:eastAsia="zh-CN"/>
              </w:rPr>
              <w:t>熊克书</w:t>
            </w:r>
            <w:r>
              <w:rPr>
                <w:rFonts w:hint="eastAsia"/>
                <w:sz w:val="24"/>
              </w:rPr>
              <w:t>2024.</w:t>
            </w:r>
            <w:r>
              <w:rPr>
                <w:sz w:val="24"/>
              </w:rPr>
              <w:t>1</w:t>
            </w:r>
            <w:r>
              <w:rPr>
                <w:rFonts w:hint="eastAsia"/>
                <w:sz w:val="24"/>
                <w:lang w:val="en-US" w:eastAsia="zh-CN"/>
              </w:rPr>
              <w:t>0</w:t>
            </w:r>
            <w:r>
              <w:rPr>
                <w:rFonts w:hint="eastAsia"/>
                <w:sz w:val="24"/>
              </w:rPr>
              <w:t>.</w:t>
            </w:r>
            <w:r>
              <w:rPr>
                <w:sz w:val="24"/>
              </w:rPr>
              <w:t>3</w:t>
            </w:r>
            <w:r>
              <w:rPr>
                <w:rFonts w:hint="eastAsia"/>
                <w:sz w:val="24"/>
                <w:lang w:val="en-US" w:eastAsia="zh-CN"/>
              </w:rPr>
              <w:t>0</w:t>
            </w:r>
          </w:p>
        </w:tc>
      </w:tr>
      <w:tr w14:paraId="6799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02373A96">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0E00869A">
            <w:pPr>
              <w:ind w:firstLine="560"/>
              <w:rPr>
                <w:rFonts w:hint="eastAsia" w:eastAsia="宋体"/>
                <w:szCs w:val="28"/>
                <w:lang w:val="en-US" w:eastAsia="zh-CN"/>
              </w:rPr>
            </w:pPr>
            <w:r>
              <w:rPr>
                <w:rFonts w:hint="eastAsia"/>
                <w:szCs w:val="28"/>
                <w:lang w:val="en-US"/>
              </w:rPr>
              <w:t>江西海瑞天然植物有限公司成立于</w:t>
            </w:r>
            <w:r>
              <w:rPr>
                <w:rFonts w:hint="eastAsia"/>
                <w:spacing w:val="-3"/>
                <w:szCs w:val="28"/>
              </w:rPr>
              <w:t>2013年8月19日</w:t>
            </w:r>
            <w:r>
              <w:rPr>
                <w:rFonts w:hint="eastAsia"/>
                <w:szCs w:val="28"/>
                <w:lang w:val="en-US"/>
              </w:rPr>
              <w:t>，并取得营业执照，营业执照统一社会信用代码：91360805076852453L。注册资本：300万元。公司类型：有限责任公司（自然人投资或控股）</w:t>
            </w:r>
            <w:r>
              <w:rPr>
                <w:rFonts w:hint="eastAsia"/>
                <w:szCs w:val="28"/>
              </w:rPr>
              <w:t>，法定代表人：罗东明。</w:t>
            </w:r>
            <w:r>
              <w:rPr>
                <w:rFonts w:hint="eastAsia"/>
                <w:szCs w:val="28"/>
                <w:lang w:val="en-US"/>
              </w:rPr>
              <w:t>注册住所：</w:t>
            </w:r>
            <w:r>
              <w:rPr>
                <w:rFonts w:hint="eastAsia"/>
                <w:spacing w:val="-3"/>
                <w:szCs w:val="28"/>
              </w:rPr>
              <w:t>江西省吉安市井冈山经济技术开发区嘉华大道以南</w:t>
            </w:r>
            <w:r>
              <w:rPr>
                <w:rFonts w:hint="eastAsia"/>
                <w:spacing w:val="-3"/>
                <w:szCs w:val="28"/>
                <w:lang w:eastAsia="zh-CN"/>
              </w:rPr>
              <w:t>。</w:t>
            </w:r>
          </w:p>
          <w:p w14:paraId="0874C4E3">
            <w:pPr>
              <w:ind w:firstLine="560"/>
              <w:rPr>
                <w:rFonts w:hint="eastAsia"/>
                <w:szCs w:val="28"/>
                <w:lang w:val="en-US"/>
              </w:rPr>
            </w:pPr>
            <w:r>
              <w:rPr>
                <w:rFonts w:hint="eastAsia"/>
                <w:szCs w:val="28"/>
                <w:lang w:val="en-US"/>
              </w:rPr>
              <w:t>江西海瑞天然植物有限公司于2020年10月26日取得井冈山经济技术开发区经济发展和科技管理局项目备案通知书，项目备案编码：2020-360861-26-03-043898。</w:t>
            </w:r>
          </w:p>
          <w:p w14:paraId="59E9CBF7">
            <w:pPr>
              <w:ind w:firstLine="560"/>
              <w:rPr>
                <w:rFonts w:hint="eastAsia"/>
                <w:szCs w:val="28"/>
                <w:lang w:val="en-US"/>
              </w:rPr>
            </w:pPr>
            <w:r>
              <w:rPr>
                <w:rFonts w:hint="eastAsia"/>
                <w:szCs w:val="28"/>
                <w:lang w:val="en-US"/>
              </w:rPr>
              <w:t>江西海瑞天然植物有限公司年产325吨植物油生产技改项目（一期）</w:t>
            </w:r>
            <w:r>
              <w:rPr>
                <w:rFonts w:hint="eastAsia"/>
                <w:spacing w:val="-3"/>
                <w:szCs w:val="28"/>
              </w:rPr>
              <w:t xml:space="preserve">主体工程包含生产 </w:t>
            </w:r>
            <w:r>
              <w:rPr>
                <w:rFonts w:hint="eastAsia"/>
                <w:spacing w:val="-3"/>
                <w:szCs w:val="28"/>
                <w:lang w:val="en-US"/>
              </w:rPr>
              <w:t>1</w:t>
            </w:r>
            <w:r>
              <w:rPr>
                <w:rFonts w:hint="eastAsia"/>
                <w:spacing w:val="-3"/>
                <w:szCs w:val="28"/>
              </w:rPr>
              <w:t>层厂房</w:t>
            </w:r>
            <w:r>
              <w:rPr>
                <w:rFonts w:hint="eastAsia"/>
                <w:spacing w:val="-3"/>
                <w:szCs w:val="28"/>
                <w:lang w:val="en-US"/>
              </w:rPr>
              <w:t xml:space="preserve"> 1 </w:t>
            </w:r>
            <w:r>
              <w:rPr>
                <w:rFonts w:hint="eastAsia"/>
                <w:spacing w:val="-3"/>
                <w:szCs w:val="28"/>
              </w:rPr>
              <w:t>栋、</w:t>
            </w:r>
            <w:r>
              <w:rPr>
                <w:rFonts w:hint="eastAsia"/>
                <w:spacing w:val="-3"/>
                <w:szCs w:val="28"/>
                <w:lang w:val="en-US"/>
              </w:rPr>
              <w:t xml:space="preserve">综合办公楼 1 </w:t>
            </w:r>
            <w:r>
              <w:rPr>
                <w:rFonts w:hint="eastAsia"/>
                <w:spacing w:val="-3"/>
                <w:szCs w:val="28"/>
              </w:rPr>
              <w:t>栋、</w:t>
            </w:r>
            <w:r>
              <w:rPr>
                <w:rFonts w:hint="eastAsia"/>
                <w:spacing w:val="-3"/>
                <w:szCs w:val="28"/>
                <w:lang w:val="en-US"/>
              </w:rPr>
              <w:t>门卫 1 栋</w:t>
            </w:r>
            <w:r>
              <w:rPr>
                <w:rFonts w:hint="eastAsia"/>
                <w:spacing w:val="-3"/>
                <w:szCs w:val="28"/>
              </w:rPr>
              <w:t>，生产系统配套的辅助设施；建筑面积合计</w:t>
            </w:r>
            <w:r>
              <w:rPr>
                <w:rFonts w:hint="eastAsia"/>
                <w:spacing w:val="-3"/>
                <w:szCs w:val="28"/>
                <w:lang w:val="en-US"/>
              </w:rPr>
              <w:t>3848</w:t>
            </w:r>
            <w:r>
              <w:rPr>
                <w:rFonts w:hint="eastAsia"/>
                <w:spacing w:val="-3"/>
                <w:szCs w:val="28"/>
              </w:rPr>
              <w:t>平米。</w:t>
            </w:r>
            <w:r>
              <w:rPr>
                <w:rFonts w:hint="eastAsia"/>
                <w:szCs w:val="28"/>
                <w:lang w:val="en-US"/>
              </w:rPr>
              <w:t>现有产品规模为：薄荷油40t/a、生姜油25t/a、丁香油40t/a、香茅油90t/a、柠檬油90t/a。</w:t>
            </w:r>
          </w:p>
          <w:p w14:paraId="57CF5367">
            <w:pPr>
              <w:ind w:firstLine="560"/>
              <w:rPr>
                <w:rFonts w:hint="eastAsia"/>
                <w:snapToGrid w:val="0"/>
              </w:rPr>
            </w:pPr>
            <w:r>
              <w:rPr>
                <w:rFonts w:hint="eastAsia"/>
                <w:szCs w:val="28"/>
                <w:lang w:val="en-US"/>
              </w:rPr>
              <w:t>项目不涉及危险化学品</w:t>
            </w:r>
            <w:r>
              <w:rPr>
                <w:rFonts w:hint="eastAsia"/>
                <w:szCs w:val="28"/>
                <w:lang w:val="en-US" w:eastAsia="zh-CN"/>
              </w:rPr>
              <w:t>；</w:t>
            </w:r>
            <w:r>
              <w:rPr>
                <w:rFonts w:hint="eastAsia"/>
                <w:bCs/>
                <w:szCs w:val="28"/>
                <w:lang w:val="en-US"/>
              </w:rPr>
              <w:t>不涉及重点监管的危险化工工艺</w:t>
            </w:r>
            <w:r>
              <w:rPr>
                <w:rFonts w:hint="eastAsia"/>
                <w:bCs/>
                <w:szCs w:val="28"/>
                <w:lang w:val="en-US" w:eastAsia="zh-CN"/>
              </w:rPr>
              <w:t>；</w:t>
            </w:r>
            <w:r>
              <w:rPr>
                <w:rFonts w:hint="eastAsia"/>
                <w:bCs/>
                <w:szCs w:val="28"/>
                <w:lang w:val="en-US"/>
              </w:rPr>
              <w:t>各单元均未构成危险化学品重大危险源</w:t>
            </w:r>
            <w:r>
              <w:rPr>
                <w:rFonts w:hint="eastAsia"/>
                <w:snapToGrid w:val="0"/>
              </w:rPr>
              <w:t>。</w:t>
            </w:r>
          </w:p>
        </w:tc>
      </w:tr>
      <w:tr w14:paraId="7BB0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0C26B5DC">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72BA3866">
            <w:pPr>
              <w:ind w:firstLine="560"/>
              <w:rPr>
                <w:rFonts w:hint="eastAsia"/>
                <w:lang w:val="en-US"/>
              </w:rPr>
            </w:pPr>
            <w:r>
              <w:rPr>
                <w:rFonts w:hint="eastAsia"/>
                <w:kern w:val="2"/>
                <w:szCs w:val="28"/>
                <w:lang w:val="en-US" w:bidi="ar-SA"/>
              </w:rPr>
              <w:t>加工工艺流程</w:t>
            </w:r>
          </w:p>
          <w:p w14:paraId="2C6F8DFD">
            <w:pPr>
              <w:autoSpaceDE/>
              <w:autoSpaceDN/>
              <w:ind w:firstLine="560"/>
              <w:jc w:val="both"/>
              <w:rPr>
                <w:rFonts w:cs="Times New Roman"/>
                <w:kern w:val="2"/>
                <w:szCs w:val="28"/>
                <w:lang w:val="en-US" w:bidi="ar-SA"/>
              </w:rPr>
            </w:pPr>
            <w:r>
              <w:rPr>
                <w:rFonts w:hint="eastAsia" w:cs="Times New Roman"/>
                <w:kern w:val="2"/>
                <w:szCs w:val="28"/>
                <w:lang w:val="en-US" w:bidi="ar-SA"/>
              </w:rPr>
              <w:t>外购相关原料，进行检验合格后，投料于提油罐内。</w:t>
            </w:r>
          </w:p>
          <w:p w14:paraId="67FFD2AC">
            <w:pPr>
              <w:autoSpaceDE/>
              <w:autoSpaceDN/>
              <w:ind w:firstLine="560"/>
              <w:jc w:val="both"/>
              <w:rPr>
                <w:rFonts w:hint="eastAsia" w:cs="Times New Roman"/>
                <w:kern w:val="2"/>
                <w:szCs w:val="28"/>
                <w:lang w:val="en-US" w:bidi="ar-SA"/>
              </w:rPr>
            </w:pPr>
            <w:r>
              <w:rPr>
                <w:rFonts w:hint="eastAsia" w:cs="Times New Roman"/>
                <w:kern w:val="2"/>
                <w:szCs w:val="28"/>
                <w:lang w:val="en-US" w:bidi="ar-SA"/>
              </w:rPr>
              <w:t>提油罐通入水蒸气，水蒸气由电加热蒸汽设备产生。</w:t>
            </w:r>
          </w:p>
          <w:p w14:paraId="394906DE">
            <w:pPr>
              <w:autoSpaceDE/>
              <w:autoSpaceDN/>
              <w:ind w:firstLine="560"/>
              <w:jc w:val="both"/>
              <w:rPr>
                <w:rFonts w:hint="eastAsia" w:cs="Times New Roman"/>
                <w:kern w:val="2"/>
                <w:szCs w:val="28"/>
                <w:lang w:val="en-US" w:bidi="ar-SA"/>
              </w:rPr>
            </w:pPr>
            <w:r>
              <w:rPr>
                <w:rFonts w:hint="eastAsia" w:cs="Times New Roman"/>
                <w:kern w:val="2"/>
                <w:szCs w:val="28"/>
                <w:lang w:val="en-US" w:bidi="ar-SA"/>
              </w:rPr>
              <w:t>冷却分离：由提油罐内蒸馏出的油气混合物经冷却器冷却后流入油水分离器内，分离器利用精油的相对密度小于水且不溶于水的原理，初步静置分层，上层为含有少量水分的油，称为毛油，下层为油水混合液；将初步分离的毛油再经静置分离，得到比较纯净的精油。</w:t>
            </w:r>
          </w:p>
          <w:p w14:paraId="040B2276">
            <w:pPr>
              <w:tabs>
                <w:tab w:val="left" w:pos="1265"/>
                <w:tab w:val="left" w:pos="1380"/>
              </w:tabs>
              <w:snapToGrid w:val="0"/>
              <w:spacing w:line="360" w:lineRule="auto"/>
              <w:jc w:val="center"/>
              <w:rPr>
                <w:snapToGrid w:val="0"/>
              </w:rPr>
            </w:pPr>
            <w:r>
              <w:drawing>
                <wp:inline distT="0" distB="0" distL="114300" distR="114300">
                  <wp:extent cx="4013835" cy="4398010"/>
                  <wp:effectExtent l="0" t="0" r="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4"/>
                          <a:stretch>
                            <a:fillRect/>
                          </a:stretch>
                        </pic:blipFill>
                        <pic:spPr>
                          <a:xfrm>
                            <a:off x="0" y="0"/>
                            <a:ext cx="4013835" cy="4398010"/>
                          </a:xfrm>
                          <a:prstGeom prst="rect">
                            <a:avLst/>
                          </a:prstGeom>
                          <a:noFill/>
                          <a:ln>
                            <a:noFill/>
                          </a:ln>
                        </pic:spPr>
                      </pic:pic>
                    </a:graphicData>
                  </a:graphic>
                </wp:inline>
              </w:drawing>
            </w:r>
          </w:p>
          <w:p w14:paraId="642F14C6">
            <w:pPr>
              <w:tabs>
                <w:tab w:val="left" w:pos="1265"/>
                <w:tab w:val="left" w:pos="1380"/>
              </w:tabs>
              <w:snapToGrid w:val="0"/>
              <w:spacing w:line="360" w:lineRule="auto"/>
              <w:jc w:val="left"/>
              <w:rPr>
                <w:rFonts w:ascii="宋体" w:hAnsi="宋体" w:cs="宋体"/>
                <w:snapToGrid w:val="0"/>
                <w:kern w:val="0"/>
                <w:szCs w:val="21"/>
              </w:rPr>
            </w:pPr>
          </w:p>
        </w:tc>
      </w:tr>
      <w:tr w14:paraId="00B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1C049D4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B514EA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37F63244">
      <w:r>
        <w:rPr>
          <w:rFonts w:hint="eastAsia"/>
        </w:rPr>
        <w:br w:type="page"/>
      </w:r>
    </w:p>
    <w:p w14:paraId="5E07ABB9"/>
    <w:p w14:paraId="0E5298BF">
      <w:pPr>
        <w:rPr>
          <w:rFonts w:hint="eastAsia" w:eastAsia="宋体"/>
          <w:lang w:eastAsia="zh-CN"/>
        </w:rPr>
      </w:pPr>
      <w:r>
        <w:rPr>
          <w:rFonts w:hint="eastAsia" w:eastAsia="宋体"/>
          <w:lang w:eastAsia="zh-CN"/>
        </w:rPr>
        <w:drawing>
          <wp:inline distT="0" distB="0" distL="114300" distR="114300">
            <wp:extent cx="5264785" cy="3950335"/>
            <wp:effectExtent l="0" t="0" r="12065" b="12065"/>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5"/>
                    <a:stretch>
                      <a:fillRect/>
                    </a:stretch>
                  </pic:blipFill>
                  <pic:spPr>
                    <a:xfrm>
                      <a:off x="0" y="0"/>
                      <a:ext cx="5264785" cy="3950335"/>
                    </a:xfrm>
                    <a:prstGeom prst="rect">
                      <a:avLst/>
                    </a:prstGeom>
                  </pic:spPr>
                </pic:pic>
              </a:graphicData>
            </a:graphic>
          </wp:inline>
        </w:drawing>
      </w:r>
    </w:p>
    <w:p w14:paraId="4223652F"/>
    <w:p w14:paraId="2A512B2C">
      <w:pPr>
        <w:rPr>
          <w:rFonts w:hint="eastAsia" w:eastAsia="宋体"/>
          <w:lang w:eastAsia="zh-CN"/>
        </w:rPr>
      </w:pPr>
      <w:r>
        <w:rPr>
          <w:rFonts w:hint="eastAsia" w:eastAsia="宋体"/>
          <w:lang w:eastAsia="zh-CN"/>
        </w:rPr>
        <w:drawing>
          <wp:inline distT="0" distB="0" distL="114300" distR="114300">
            <wp:extent cx="5264785" cy="3950335"/>
            <wp:effectExtent l="0" t="0" r="12065" b="12065"/>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6"/>
                    <a:stretch>
                      <a:fillRect/>
                    </a:stretch>
                  </pic:blipFill>
                  <pic:spPr>
                    <a:xfrm>
                      <a:off x="0" y="0"/>
                      <a:ext cx="5264785" cy="3950335"/>
                    </a:xfrm>
                    <a:prstGeom prst="rect">
                      <a:avLst/>
                    </a:prstGeom>
                  </pic:spPr>
                </pic:pic>
              </a:graphicData>
            </a:graphic>
          </wp:inline>
        </w:drawing>
      </w:r>
    </w:p>
    <w:p w14:paraId="550F72D5"/>
    <w:p w14:paraId="44D6F4B2"/>
    <w:p w14:paraId="795F8353">
      <w:bookmarkStart w:id="0" w:name="_GoBack"/>
      <w:bookmarkEnd w:id="0"/>
    </w:p>
    <w:p w14:paraId="32057267">
      <w:pPr>
        <w:jc w:val="both"/>
      </w:pPr>
      <w:r>
        <w:drawing>
          <wp:inline distT="0" distB="0" distL="114300" distR="114300">
            <wp:extent cx="5271770" cy="7410450"/>
            <wp:effectExtent l="0" t="0" r="508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7"/>
                    <a:stretch>
                      <a:fillRect/>
                    </a:stretch>
                  </pic:blipFill>
                  <pic:spPr>
                    <a:xfrm>
                      <a:off x="0" y="0"/>
                      <a:ext cx="5271770" cy="7410450"/>
                    </a:xfrm>
                    <a:prstGeom prst="rect">
                      <a:avLst/>
                    </a:prstGeom>
                    <a:noFill/>
                    <a:ln>
                      <a:noFill/>
                    </a:ln>
                  </pic:spPr>
                </pic:pic>
              </a:graphicData>
            </a:graphic>
          </wp:inline>
        </w:drawing>
      </w:r>
    </w:p>
    <w:p w14:paraId="71131254">
      <w:pPr>
        <w:jc w:val="both"/>
      </w:pPr>
    </w:p>
    <w:p w14:paraId="50678230">
      <w:pPr>
        <w:jc w:val="both"/>
      </w:pPr>
    </w:p>
    <w:p w14:paraId="00CEC2E3">
      <w:pPr>
        <w:jc w:val="both"/>
      </w:pPr>
    </w:p>
    <w:p w14:paraId="1DD3FCE3">
      <w:pPr>
        <w:jc w:val="both"/>
      </w:pPr>
    </w:p>
    <w:p w14:paraId="2B59A32B">
      <w:pPr>
        <w:jc w:val="both"/>
      </w:pPr>
    </w:p>
    <w:p w14:paraId="256DE4E7">
      <w:pPr>
        <w:jc w:val="both"/>
      </w:pPr>
      <w:r>
        <w:drawing>
          <wp:inline distT="0" distB="0" distL="114300" distR="114300">
            <wp:extent cx="5161280" cy="7966710"/>
            <wp:effectExtent l="0" t="0" r="1270" b="1524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8"/>
                    <a:stretch>
                      <a:fillRect/>
                    </a:stretch>
                  </pic:blipFill>
                  <pic:spPr>
                    <a:xfrm>
                      <a:off x="0" y="0"/>
                      <a:ext cx="5161280" cy="7966710"/>
                    </a:xfrm>
                    <a:prstGeom prst="rect">
                      <a:avLst/>
                    </a:prstGeom>
                    <a:noFill/>
                    <a:ln>
                      <a:noFill/>
                    </a:ln>
                  </pic:spPr>
                </pic:pic>
              </a:graphicData>
            </a:graphic>
          </wp:inline>
        </w:drawing>
      </w:r>
    </w:p>
    <w:p w14:paraId="5A2C25E3">
      <w:pPr>
        <w:jc w:val="both"/>
      </w:pPr>
    </w:p>
    <w:p w14:paraId="2C4262F6">
      <w:pPr>
        <w:jc w:val="both"/>
      </w:pPr>
    </w:p>
    <w:p w14:paraId="0C067EA8">
      <w:pPr>
        <w:jc w:val="both"/>
      </w:pPr>
    </w:p>
    <w:p w14:paraId="2CBBD4DF">
      <w:pPr>
        <w:jc w:val="both"/>
      </w:pPr>
    </w:p>
    <w:p w14:paraId="1B0A84F1">
      <w:pPr>
        <w:jc w:val="both"/>
      </w:pPr>
      <w:r>
        <w:drawing>
          <wp:inline distT="0" distB="0" distL="114300" distR="114300">
            <wp:extent cx="8000365" cy="4928235"/>
            <wp:effectExtent l="0" t="0" r="5715" b="63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9"/>
                    <a:stretch>
                      <a:fillRect/>
                    </a:stretch>
                  </pic:blipFill>
                  <pic:spPr>
                    <a:xfrm rot="5400000">
                      <a:off x="0" y="0"/>
                      <a:ext cx="8000365" cy="4928235"/>
                    </a:xfrm>
                    <a:prstGeom prst="rect">
                      <a:avLst/>
                    </a:prstGeom>
                    <a:noFill/>
                    <a:ln>
                      <a:noFill/>
                    </a:ln>
                  </pic:spPr>
                </pic:pic>
              </a:graphicData>
            </a:graphic>
          </wp:inline>
        </w:drawing>
      </w:r>
    </w:p>
    <w:p w14:paraId="74375E0A">
      <w:pPr>
        <w:jc w:val="both"/>
      </w:pPr>
    </w:p>
    <w:p w14:paraId="1DBD2E4E">
      <w:pPr>
        <w:jc w:val="both"/>
      </w:pPr>
    </w:p>
    <w:p w14:paraId="411D30D4">
      <w:r>
        <w:drawing>
          <wp:inline distT="0" distB="0" distL="114300" distR="114300">
            <wp:extent cx="5019675" cy="6962775"/>
            <wp:effectExtent l="0" t="0" r="9525" b="952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0"/>
                    <a:stretch>
                      <a:fillRect/>
                    </a:stretch>
                  </pic:blipFill>
                  <pic:spPr>
                    <a:xfrm>
                      <a:off x="0" y="0"/>
                      <a:ext cx="5019675" cy="696277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8"/>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3"/>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30516AD"/>
    <w:rsid w:val="03463A74"/>
    <w:rsid w:val="03A1635F"/>
    <w:rsid w:val="03C37305"/>
    <w:rsid w:val="04334FFF"/>
    <w:rsid w:val="04543719"/>
    <w:rsid w:val="045937F4"/>
    <w:rsid w:val="04664971"/>
    <w:rsid w:val="04714B20"/>
    <w:rsid w:val="04D11406"/>
    <w:rsid w:val="04E23328"/>
    <w:rsid w:val="050505ED"/>
    <w:rsid w:val="06007F0A"/>
    <w:rsid w:val="062E2CC9"/>
    <w:rsid w:val="06567547"/>
    <w:rsid w:val="06EF6353"/>
    <w:rsid w:val="07D32EB9"/>
    <w:rsid w:val="07E46E00"/>
    <w:rsid w:val="0814540D"/>
    <w:rsid w:val="08300409"/>
    <w:rsid w:val="08302FF8"/>
    <w:rsid w:val="0845254C"/>
    <w:rsid w:val="08E81855"/>
    <w:rsid w:val="08ED0200"/>
    <w:rsid w:val="0946657C"/>
    <w:rsid w:val="096769A3"/>
    <w:rsid w:val="096F1B10"/>
    <w:rsid w:val="09806C85"/>
    <w:rsid w:val="09A37E9F"/>
    <w:rsid w:val="0A0E1339"/>
    <w:rsid w:val="0A173A74"/>
    <w:rsid w:val="0A4F7A65"/>
    <w:rsid w:val="0BC750FD"/>
    <w:rsid w:val="0C370800"/>
    <w:rsid w:val="0D073DB5"/>
    <w:rsid w:val="0D081033"/>
    <w:rsid w:val="0E564C35"/>
    <w:rsid w:val="0EC817E1"/>
    <w:rsid w:val="0F1C6141"/>
    <w:rsid w:val="0FE07C54"/>
    <w:rsid w:val="0FFD1618"/>
    <w:rsid w:val="10806817"/>
    <w:rsid w:val="10A546BD"/>
    <w:rsid w:val="10AD0B5D"/>
    <w:rsid w:val="10AE1BD9"/>
    <w:rsid w:val="10D96D50"/>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301429"/>
    <w:rsid w:val="18351C95"/>
    <w:rsid w:val="188D103C"/>
    <w:rsid w:val="190E35A0"/>
    <w:rsid w:val="191A70DD"/>
    <w:rsid w:val="19992B53"/>
    <w:rsid w:val="19CE23A1"/>
    <w:rsid w:val="19D014C8"/>
    <w:rsid w:val="19F45335"/>
    <w:rsid w:val="1A330456"/>
    <w:rsid w:val="1A4E76A5"/>
    <w:rsid w:val="1ADA1B6B"/>
    <w:rsid w:val="1B63147C"/>
    <w:rsid w:val="1C3244B8"/>
    <w:rsid w:val="1C461987"/>
    <w:rsid w:val="1C4B6410"/>
    <w:rsid w:val="1C67088B"/>
    <w:rsid w:val="1C970306"/>
    <w:rsid w:val="1CD13F56"/>
    <w:rsid w:val="1CD14F1F"/>
    <w:rsid w:val="1CEA3399"/>
    <w:rsid w:val="1DA60EEB"/>
    <w:rsid w:val="1F0F5E71"/>
    <w:rsid w:val="1F142A61"/>
    <w:rsid w:val="1F373426"/>
    <w:rsid w:val="1F642D26"/>
    <w:rsid w:val="1FAC2BD1"/>
    <w:rsid w:val="1FF45CE7"/>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D9110B"/>
    <w:rsid w:val="2C9D3BC7"/>
    <w:rsid w:val="2CF2686E"/>
    <w:rsid w:val="2E9E272A"/>
    <w:rsid w:val="2EAE6403"/>
    <w:rsid w:val="2F5C124E"/>
    <w:rsid w:val="31055C5A"/>
    <w:rsid w:val="3256187C"/>
    <w:rsid w:val="3259568C"/>
    <w:rsid w:val="32A66941"/>
    <w:rsid w:val="334B2415"/>
    <w:rsid w:val="339918AA"/>
    <w:rsid w:val="33BD2F62"/>
    <w:rsid w:val="33C148CD"/>
    <w:rsid w:val="341F407D"/>
    <w:rsid w:val="34BD4A82"/>
    <w:rsid w:val="351530F3"/>
    <w:rsid w:val="35211925"/>
    <w:rsid w:val="35524794"/>
    <w:rsid w:val="36577381"/>
    <w:rsid w:val="366115C7"/>
    <w:rsid w:val="368F242B"/>
    <w:rsid w:val="37285AB1"/>
    <w:rsid w:val="375C6F30"/>
    <w:rsid w:val="3781684D"/>
    <w:rsid w:val="3823766B"/>
    <w:rsid w:val="396748BA"/>
    <w:rsid w:val="3A751F6D"/>
    <w:rsid w:val="3AB6680E"/>
    <w:rsid w:val="3AD61658"/>
    <w:rsid w:val="3ADD7367"/>
    <w:rsid w:val="3AF50232"/>
    <w:rsid w:val="3B251FB8"/>
    <w:rsid w:val="3B3712DA"/>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546743F"/>
    <w:rsid w:val="45A13141"/>
    <w:rsid w:val="46966FC2"/>
    <w:rsid w:val="46F56910"/>
    <w:rsid w:val="47EE36B2"/>
    <w:rsid w:val="485E76F8"/>
    <w:rsid w:val="487A531F"/>
    <w:rsid w:val="48AF6D87"/>
    <w:rsid w:val="49CE6C17"/>
    <w:rsid w:val="4A437992"/>
    <w:rsid w:val="4CDE060B"/>
    <w:rsid w:val="4E2E60EA"/>
    <w:rsid w:val="4E3D5914"/>
    <w:rsid w:val="4E461B89"/>
    <w:rsid w:val="4E844F13"/>
    <w:rsid w:val="4F2B27F1"/>
    <w:rsid w:val="4F4C1097"/>
    <w:rsid w:val="4F844CD5"/>
    <w:rsid w:val="4FF32FA8"/>
    <w:rsid w:val="50EA0B03"/>
    <w:rsid w:val="512A57AB"/>
    <w:rsid w:val="515A3854"/>
    <w:rsid w:val="5276471A"/>
    <w:rsid w:val="52B20F97"/>
    <w:rsid w:val="52CC47C0"/>
    <w:rsid w:val="52E07D49"/>
    <w:rsid w:val="5374510A"/>
    <w:rsid w:val="53F5005F"/>
    <w:rsid w:val="550C37A2"/>
    <w:rsid w:val="563D2137"/>
    <w:rsid w:val="565D015E"/>
    <w:rsid w:val="56836AB2"/>
    <w:rsid w:val="56BC2DE3"/>
    <w:rsid w:val="56D42C4D"/>
    <w:rsid w:val="56EF512A"/>
    <w:rsid w:val="57301D47"/>
    <w:rsid w:val="57487036"/>
    <w:rsid w:val="575D6537"/>
    <w:rsid w:val="57800B40"/>
    <w:rsid w:val="57CD2DFE"/>
    <w:rsid w:val="58244FE5"/>
    <w:rsid w:val="584B13F6"/>
    <w:rsid w:val="59217B49"/>
    <w:rsid w:val="59656964"/>
    <w:rsid w:val="59D926D2"/>
    <w:rsid w:val="5A034680"/>
    <w:rsid w:val="5AA52A54"/>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8413C"/>
    <w:rsid w:val="60B44CEE"/>
    <w:rsid w:val="60B460AF"/>
    <w:rsid w:val="619747AF"/>
    <w:rsid w:val="621C336D"/>
    <w:rsid w:val="629E5C56"/>
    <w:rsid w:val="62A05F08"/>
    <w:rsid w:val="62EA5BC6"/>
    <w:rsid w:val="630737FB"/>
    <w:rsid w:val="63C25DAA"/>
    <w:rsid w:val="64126CC6"/>
    <w:rsid w:val="648F0582"/>
    <w:rsid w:val="64F540D9"/>
    <w:rsid w:val="6559245A"/>
    <w:rsid w:val="65622F6B"/>
    <w:rsid w:val="658C415A"/>
    <w:rsid w:val="65BD6D5B"/>
    <w:rsid w:val="66C53C4A"/>
    <w:rsid w:val="673B297E"/>
    <w:rsid w:val="678F323C"/>
    <w:rsid w:val="67F105D6"/>
    <w:rsid w:val="68233EA0"/>
    <w:rsid w:val="68A30209"/>
    <w:rsid w:val="68C86C57"/>
    <w:rsid w:val="69C2222A"/>
    <w:rsid w:val="6AA57F27"/>
    <w:rsid w:val="6CC37EB5"/>
    <w:rsid w:val="6D1139EB"/>
    <w:rsid w:val="6D3457FF"/>
    <w:rsid w:val="6E0E1EE1"/>
    <w:rsid w:val="6E2A4841"/>
    <w:rsid w:val="6EEF19E2"/>
    <w:rsid w:val="6F3D1DEF"/>
    <w:rsid w:val="6F963F3C"/>
    <w:rsid w:val="6FB940CF"/>
    <w:rsid w:val="6FE54B28"/>
    <w:rsid w:val="71276AD1"/>
    <w:rsid w:val="7160445C"/>
    <w:rsid w:val="71697143"/>
    <w:rsid w:val="716C6A50"/>
    <w:rsid w:val="717476DC"/>
    <w:rsid w:val="7207397B"/>
    <w:rsid w:val="729E3A33"/>
    <w:rsid w:val="72C43B37"/>
    <w:rsid w:val="73670AB5"/>
    <w:rsid w:val="737D1DEA"/>
    <w:rsid w:val="748B2EA1"/>
    <w:rsid w:val="74AE0F56"/>
    <w:rsid w:val="76391AC6"/>
    <w:rsid w:val="7672193D"/>
    <w:rsid w:val="770403EE"/>
    <w:rsid w:val="771C50B0"/>
    <w:rsid w:val="771E190D"/>
    <w:rsid w:val="77832F9B"/>
    <w:rsid w:val="77C519A6"/>
    <w:rsid w:val="78063C29"/>
    <w:rsid w:val="784004D1"/>
    <w:rsid w:val="78725E9B"/>
    <w:rsid w:val="7877129B"/>
    <w:rsid w:val="787B0173"/>
    <w:rsid w:val="79302291"/>
    <w:rsid w:val="797D7F1B"/>
    <w:rsid w:val="79F44E86"/>
    <w:rsid w:val="79FE7AE0"/>
    <w:rsid w:val="7A083C89"/>
    <w:rsid w:val="7AA15E8B"/>
    <w:rsid w:val="7B424553"/>
    <w:rsid w:val="7BB96559"/>
    <w:rsid w:val="7BF25D18"/>
    <w:rsid w:val="7C304A31"/>
    <w:rsid w:val="7C6520EB"/>
    <w:rsid w:val="7C85225C"/>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5">
    <w:name w:val="heading 2"/>
    <w:basedOn w:val="6"/>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6">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7">
    <w:name w:val="heading 4"/>
    <w:basedOn w:val="1"/>
    <w:next w:val="1"/>
    <w:unhideWhenUsed/>
    <w:qFormat/>
    <w:uiPriority w:val="0"/>
    <w:pPr>
      <w:keepNext/>
      <w:keepLines/>
      <w:outlineLvl w:val="3"/>
    </w:pPr>
    <w:rPr>
      <w:b/>
    </w:rPr>
  </w:style>
  <w:style w:type="character" w:default="1" w:styleId="26">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qFormat/>
    <w:uiPriority w:val="0"/>
    <w:pPr>
      <w:autoSpaceDE w:val="0"/>
      <w:autoSpaceDN w:val="0"/>
    </w:pPr>
    <w:rPr>
      <w:rFonts w:hint="eastAsia" w:ascii="宋体"/>
      <w:sz w:val="24"/>
    </w:rPr>
  </w:style>
  <w:style w:type="paragraph" w:customStyle="1" w:styleId="3">
    <w:name w:val="纯文本1"/>
    <w:basedOn w:val="1"/>
    <w:qFormat/>
    <w:uiPriority w:val="0"/>
    <w:rPr>
      <w:rFonts w:ascii="宋体" w:hAnsi="Courier New"/>
      <w:kern w:val="0"/>
      <w:sz w:val="21"/>
      <w:szCs w:val="20"/>
    </w:rPr>
  </w:style>
  <w:style w:type="paragraph" w:styleId="8">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9">
    <w:name w:val="Body Text"/>
    <w:basedOn w:val="1"/>
    <w:next w:val="1"/>
    <w:qFormat/>
    <w:uiPriority w:val="99"/>
    <w:rPr>
      <w:sz w:val="28"/>
      <w:szCs w:val="28"/>
    </w:rPr>
  </w:style>
  <w:style w:type="paragraph" w:styleId="10">
    <w:name w:val="Body Text Indent"/>
    <w:basedOn w:val="1"/>
    <w:next w:val="9"/>
    <w:unhideWhenUsed/>
    <w:qFormat/>
    <w:uiPriority w:val="99"/>
    <w:pPr>
      <w:spacing w:after="120"/>
      <w:ind w:left="420" w:leftChars="200"/>
    </w:pPr>
  </w:style>
  <w:style w:type="paragraph" w:styleId="11">
    <w:name w:val="toc 5"/>
    <w:basedOn w:val="1"/>
    <w:next w:val="1"/>
    <w:semiHidden/>
    <w:qFormat/>
    <w:uiPriority w:val="0"/>
    <w:pPr>
      <w:ind w:left="1120"/>
      <w:jc w:val="left"/>
    </w:pPr>
    <w:rPr>
      <w:sz w:val="18"/>
      <w:szCs w:val="18"/>
    </w:rPr>
  </w:style>
  <w:style w:type="paragraph" w:styleId="12">
    <w:name w:val="Plain Text"/>
    <w:basedOn w:val="1"/>
    <w:qFormat/>
    <w:uiPriority w:val="0"/>
    <w:rPr>
      <w:rFonts w:ascii="宋体" w:hAnsi="Courier New" w:cs="Courier New"/>
      <w:szCs w:val="21"/>
    </w:rPr>
  </w:style>
  <w:style w:type="paragraph" w:styleId="13">
    <w:name w:val="Date"/>
    <w:basedOn w:val="1"/>
    <w:next w:val="1"/>
    <w:link w:val="47"/>
    <w:qFormat/>
    <w:uiPriority w:val="0"/>
    <w:pPr>
      <w:ind w:left="100" w:leftChars="2500"/>
    </w:pPr>
    <w:rPr>
      <w:rFonts w:ascii="Times New Roman" w:hAnsi="Times New Roman"/>
      <w:b/>
      <w:bCs/>
      <w:sz w:val="28"/>
    </w:rPr>
  </w:style>
  <w:style w:type="paragraph" w:styleId="14">
    <w:name w:val="Body Text Indent 2"/>
    <w:basedOn w:val="1"/>
    <w:qFormat/>
    <w:uiPriority w:val="0"/>
    <w:pPr>
      <w:ind w:firstLine="538" w:firstLineChars="192"/>
    </w:pPr>
    <w:rPr>
      <w:rFonts w:ascii="宋体" w:hAnsi="宋体"/>
      <w:sz w:val="28"/>
    </w:rPr>
  </w:style>
  <w:style w:type="paragraph" w:styleId="15">
    <w:name w:val="Balloon Text"/>
    <w:basedOn w:val="1"/>
    <w:link w:val="33"/>
    <w:qFormat/>
    <w:uiPriority w:val="0"/>
    <w:rPr>
      <w:sz w:val="18"/>
      <w:szCs w:val="18"/>
    </w:rPr>
  </w:style>
  <w:style w:type="paragraph" w:styleId="16">
    <w:name w:val="footer"/>
    <w:basedOn w:val="1"/>
    <w:next w:val="17"/>
    <w:qFormat/>
    <w:uiPriority w:val="0"/>
    <w:pPr>
      <w:tabs>
        <w:tab w:val="center" w:pos="4153"/>
        <w:tab w:val="right" w:pos="8306"/>
      </w:tabs>
      <w:snapToGrid w:val="0"/>
    </w:pPr>
    <w:rPr>
      <w:sz w:val="18"/>
      <w:szCs w:val="18"/>
    </w:rPr>
  </w:style>
  <w:style w:type="paragraph" w:styleId="17">
    <w:name w:val="Normal (Web)"/>
    <w:basedOn w:val="1"/>
    <w:next w:val="18"/>
    <w:qFormat/>
    <w:uiPriority w:val="0"/>
    <w:pPr>
      <w:spacing w:before="100" w:beforeAutospacing="1" w:after="100" w:afterAutospacing="1"/>
      <w:jc w:val="left"/>
    </w:pPr>
    <w:rPr>
      <w:kern w:val="0"/>
      <w:sz w:val="24"/>
    </w:rPr>
  </w:style>
  <w:style w:type="paragraph" w:customStyle="1" w:styleId="18">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jc w:val="left"/>
    </w:pPr>
    <w:rPr>
      <w:rFonts w:ascii="宋体"/>
      <w:b/>
      <w:bCs/>
      <w:caps/>
      <w:sz w:val="20"/>
      <w:szCs w:val="20"/>
    </w:rPr>
  </w:style>
  <w:style w:type="paragraph" w:styleId="21">
    <w:name w:val="Body Text Indent 3"/>
    <w:basedOn w:val="1"/>
    <w:qFormat/>
    <w:uiPriority w:val="0"/>
    <w:pPr>
      <w:ind w:firstLine="630"/>
    </w:pPr>
    <w:rPr>
      <w:rFonts w:ascii="Times New Roman" w:hAnsi="Times New Roman" w:eastAsia="仿宋_GB2312"/>
      <w:sz w:val="28"/>
    </w:rPr>
  </w:style>
  <w:style w:type="paragraph" w:styleId="22">
    <w:name w:val="Body Text First Indent"/>
    <w:basedOn w:val="9"/>
    <w:next w:val="1"/>
    <w:qFormat/>
    <w:uiPriority w:val="0"/>
    <w:pPr>
      <w:spacing w:after="120"/>
      <w:ind w:firstLine="420" w:firstLineChars="100"/>
    </w:pPr>
  </w:style>
  <w:style w:type="paragraph" w:styleId="23">
    <w:name w:val="Body Text First Indent 2"/>
    <w:basedOn w:val="10"/>
    <w:next w:val="24"/>
    <w:unhideWhenUsed/>
    <w:qFormat/>
    <w:uiPriority w:val="99"/>
    <w:pPr>
      <w:ind w:firstLine="420" w:firstLineChars="200"/>
    </w:pPr>
  </w:style>
  <w:style w:type="paragraph" w:customStyle="1" w:styleId="24">
    <w:name w:val="正文2"/>
    <w:basedOn w:val="1"/>
    <w:qFormat/>
    <w:uiPriority w:val="0"/>
    <w:pPr>
      <w:spacing w:line="440" w:lineRule="atLeast"/>
      <w:ind w:firstLine="567"/>
    </w:pPr>
    <w:rPr>
      <w:sz w:val="24"/>
      <w:szCs w:val="20"/>
    </w:rPr>
  </w:style>
  <w:style w:type="paragraph" w:customStyle="1" w:styleId="27">
    <w:name w:val="样式 首行缩进:  2 字符"/>
    <w:basedOn w:val="1"/>
    <w:next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8">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9">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0">
    <w:name w:val="样式 标题 2"/>
    <w:basedOn w:val="5"/>
    <w:qFormat/>
    <w:uiPriority w:val="0"/>
    <w:pPr>
      <w:spacing w:beforeLines="0" w:afterLines="0"/>
    </w:pPr>
    <w:rPr>
      <w:rFonts w:ascii="Arial" w:hAnsi="Arial" w:eastAsia="宋体" w:cs="宋体"/>
      <w:snapToGrid/>
      <w:kern w:val="2"/>
      <w:szCs w:val="32"/>
      <w:lang w:val="zh-CN"/>
    </w:rPr>
  </w:style>
  <w:style w:type="paragraph" w:customStyle="1" w:styleId="31">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p0"/>
    <w:basedOn w:val="1"/>
    <w:qFormat/>
    <w:uiPriority w:val="0"/>
    <w:pPr>
      <w:widowControl/>
    </w:pPr>
    <w:rPr>
      <w:kern w:val="0"/>
      <w:szCs w:val="21"/>
    </w:rPr>
  </w:style>
  <w:style w:type="character" w:customStyle="1" w:styleId="33">
    <w:name w:val="批注框文本 字符"/>
    <w:basedOn w:val="26"/>
    <w:link w:val="15"/>
    <w:qFormat/>
    <w:uiPriority w:val="0"/>
    <w:rPr>
      <w:rFonts w:ascii="Calibri" w:hAnsi="Calibri"/>
      <w:kern w:val="2"/>
      <w:sz w:val="18"/>
      <w:szCs w:val="18"/>
    </w:rPr>
  </w:style>
  <w:style w:type="paragraph" w:customStyle="1" w:styleId="34">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5">
    <w:name w:val="表头 Char Char Char"/>
    <w:basedOn w:val="26"/>
    <w:qFormat/>
    <w:uiPriority w:val="0"/>
    <w:rPr>
      <w:rFonts w:ascii="宋体" w:hAnsi="Tahoma" w:eastAsia="宋体"/>
      <w:snapToGrid w:val="0"/>
      <w:spacing w:val="6"/>
      <w:kern w:val="10"/>
      <w:sz w:val="24"/>
    </w:rPr>
  </w:style>
  <w:style w:type="paragraph" w:customStyle="1" w:styleId="36">
    <w:name w:val="表格居中"/>
    <w:basedOn w:val="37"/>
    <w:qFormat/>
    <w:uiPriority w:val="0"/>
    <w:pPr>
      <w:jc w:val="center"/>
    </w:pPr>
  </w:style>
  <w:style w:type="paragraph" w:customStyle="1" w:styleId="37">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8">
    <w:name w:val="伟灿工贸-表格文字"/>
    <w:basedOn w:val="1"/>
    <w:qFormat/>
    <w:uiPriority w:val="0"/>
    <w:pPr>
      <w:jc w:val="center"/>
    </w:pPr>
    <w:rPr>
      <w:rFonts w:hint="eastAsia" w:ascii="宋体" w:hAnsi="宋体" w:cs="宋体"/>
      <w:szCs w:val="21"/>
    </w:rPr>
  </w:style>
  <w:style w:type="paragraph" w:customStyle="1" w:styleId="39">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0">
    <w:name w:val="表名、图名"/>
    <w:basedOn w:val="1"/>
    <w:next w:val="1"/>
    <w:qFormat/>
    <w:uiPriority w:val="0"/>
    <w:pPr>
      <w:jc w:val="center"/>
    </w:pPr>
    <w:rPr>
      <w:b/>
      <w:bCs/>
    </w:rPr>
  </w:style>
  <w:style w:type="paragraph" w:customStyle="1" w:styleId="41">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2">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3">
    <w:name w:val="工艺序号"/>
    <w:basedOn w:val="1"/>
    <w:qFormat/>
    <w:uiPriority w:val="0"/>
    <w:pPr>
      <w:numPr>
        <w:ilvl w:val="0"/>
        <w:numId w:val="1"/>
      </w:numPr>
    </w:pPr>
    <w:rPr>
      <w:b/>
      <w:bCs/>
    </w:rPr>
  </w:style>
  <w:style w:type="paragraph" w:customStyle="1" w:styleId="44">
    <w:name w:val="伟灿-表格文字"/>
    <w:basedOn w:val="1"/>
    <w:qFormat/>
    <w:uiPriority w:val="0"/>
    <w:pPr>
      <w:jc w:val="center"/>
    </w:pPr>
    <w:rPr>
      <w:rFonts w:hint="eastAsia" w:ascii="宋体" w:hAnsi="宋体" w:cs="宋体"/>
      <w:szCs w:val="21"/>
    </w:rPr>
  </w:style>
  <w:style w:type="paragraph" w:styleId="45">
    <w:name w:val="List Paragraph"/>
    <w:basedOn w:val="1"/>
    <w:qFormat/>
    <w:uiPriority w:val="99"/>
    <w:pPr>
      <w:ind w:firstLine="420" w:firstLineChars="200"/>
    </w:pPr>
  </w:style>
  <w:style w:type="paragraph" w:customStyle="1" w:styleId="46">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7">
    <w:name w:val="日期 字符"/>
    <w:basedOn w:val="26"/>
    <w:link w:val="13"/>
    <w:qFormat/>
    <w:uiPriority w:val="0"/>
    <w:rPr>
      <w:b/>
      <w:bCs/>
      <w:kern w:val="2"/>
      <w:sz w:val="28"/>
      <w:szCs w:val="24"/>
    </w:rPr>
  </w:style>
  <w:style w:type="paragraph" w:customStyle="1" w:styleId="48">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7</Pages>
  <Words>658</Words>
  <Characters>870</Characters>
  <Lines>8</Lines>
  <Paragraphs>2</Paragraphs>
  <TotalTime>4</TotalTime>
  <ScaleCrop>false</ScaleCrop>
  <LinksUpToDate>false</LinksUpToDate>
  <CharactersWithSpaces>877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半世浮沉</cp:lastModifiedBy>
  <dcterms:modified xsi:type="dcterms:W3CDTF">2025-01-14T06:44:35Z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CF4A7C9B14FA44EBAF6ABBFE76CFD9FE_13</vt:lpwstr>
  </property>
  <property fmtid="{D5CDD505-2E9C-101B-9397-08002B2CF9AE}" pid="4" name="KSOTemplateDocerSaveRecord">
    <vt:lpwstr>eyJoZGlkIjoiZWFiNjJmMGY3OTg0YWY0NTA0NjBmZTM3NmY0MDkxZjIiLCJ1c2VySWQiOiI0NTExNjk1MTUifQ==</vt:lpwstr>
  </property>
</Properties>
</file>