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sz w:val="24"/>
                <w:szCs w:val="22"/>
                <w:lang w:eastAsia="zh-CN"/>
              </w:rPr>
              <w:t>婺源县丰润科技有限公司在役生产装置</w:t>
            </w:r>
            <w:r>
              <w:rPr>
                <w:rFonts w:hint="eastAsia" w:ascii="宋体" w:hAnsi="宋体"/>
                <w:sz w:val="24"/>
                <w:szCs w:val="22"/>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2024年1</w:t>
            </w:r>
            <w:r>
              <w:rPr>
                <w:rFonts w:ascii="宋体" w:hAnsi="宋体" w:cs="宋体"/>
                <w:sz w:val="24"/>
              </w:rPr>
              <w:t>2</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徐顺星</w:t>
            </w:r>
          </w:p>
        </w:tc>
        <w:tc>
          <w:tcPr>
            <w:tcW w:w="480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S011041000110192002229</w:t>
            </w:r>
          </w:p>
        </w:tc>
        <w:tc>
          <w:tcPr>
            <w:tcW w:w="2115"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吴红玉</w:t>
            </w:r>
          </w:p>
        </w:tc>
        <w:tc>
          <w:tcPr>
            <w:tcW w:w="480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1200000000300398</w:t>
            </w:r>
          </w:p>
        </w:tc>
        <w:tc>
          <w:tcPr>
            <w:tcW w:w="2115"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韦根远</w:t>
            </w:r>
          </w:p>
        </w:tc>
        <w:tc>
          <w:tcPr>
            <w:tcW w:w="480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S011044000110191001083</w:t>
            </w:r>
          </w:p>
        </w:tc>
        <w:tc>
          <w:tcPr>
            <w:tcW w:w="2115"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岳强</w:t>
            </w:r>
          </w:p>
        </w:tc>
        <w:tc>
          <w:tcPr>
            <w:tcW w:w="480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0800000000102212</w:t>
            </w:r>
          </w:p>
        </w:tc>
        <w:tc>
          <w:tcPr>
            <w:tcW w:w="2115"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p>
        </w:tc>
        <w:tc>
          <w:tcPr>
            <w:tcW w:w="1237"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张晋慧</w:t>
            </w:r>
          </w:p>
        </w:tc>
        <w:tc>
          <w:tcPr>
            <w:tcW w:w="4803"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1100000000302946</w:t>
            </w:r>
          </w:p>
        </w:tc>
        <w:tc>
          <w:tcPr>
            <w:tcW w:w="2115"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sz w:val="24"/>
                <w:lang w:eastAsia="zh-CN"/>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sz w:val="24"/>
              </w:rPr>
              <w:t>11</w:t>
            </w:r>
            <w:r>
              <w:rPr>
                <w:rFonts w:hint="eastAsia"/>
                <w:sz w:val="24"/>
              </w:rPr>
              <w:t>.</w:t>
            </w:r>
            <w:r>
              <w:rPr>
                <w:sz w:val="24"/>
              </w:rPr>
              <w:t>1</w:t>
            </w:r>
            <w:r>
              <w:rPr>
                <w:rFonts w:hint="eastAsia"/>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olor w:val="FF0000"/>
                <w:sz w:val="24"/>
                <w:lang w:eastAsia="zh-CN"/>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sz w:val="24"/>
              </w:rPr>
              <w:t>12</w:t>
            </w:r>
            <w:r>
              <w:rPr>
                <w:rFonts w:hint="eastAsia"/>
                <w:sz w:val="24"/>
              </w:rPr>
              <w:t>.</w:t>
            </w:r>
            <w:r>
              <w:rPr>
                <w:rFonts w:hint="eastAsia"/>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rPr>
                <w:rFonts w:hint="eastAsia"/>
                <w:snapToGrid w:val="0"/>
              </w:rPr>
            </w:pPr>
            <w:r>
              <w:rPr>
                <w:rFonts w:hint="eastAsia"/>
                <w:snapToGrid w:val="0"/>
              </w:rPr>
              <w:t>婺源县丰润科技有限公司成立于2013年11月27日，属于有限责任公司（自然人投资或控股），注册资本1000万元，注册地址为江西省上饶市婺源县太白镇青年林场，法定代表人：毛水阳，经营范围为塑料添加剂、医药中间体、紫外线吸收剂、环保型染料、染料中间体、印染助剂制造、销售。（依法须经批准的项目，经相关部门批准后方可开展经营活动）。厂区总占地43122.20㎡（约64.68亩），全厂现有员工49人。</w:t>
            </w:r>
          </w:p>
          <w:p>
            <w:pPr>
              <w:ind w:firstLine="560"/>
              <w:rPr>
                <w:rFonts w:hint="eastAsia"/>
                <w:snapToGrid w:val="0"/>
              </w:rPr>
            </w:pPr>
            <w:r>
              <w:rPr>
                <w:rFonts w:hint="eastAsia"/>
                <w:snapToGrid w:val="0"/>
              </w:rPr>
              <w:t>该公司于2016年首次取得《安全生产许可证》(赣)WH安许证字【2016】0889号，许可范围：2-（2-羟基-5-叔辛基苯基）苯并三唑（1kt/a）、2-氨基-5-硝基噻唑(150t/a)，经多轮换证，现有效期从2022年1月29日至2025年1月28日。</w:t>
            </w:r>
          </w:p>
          <w:p>
            <w:pPr>
              <w:ind w:firstLine="560"/>
              <w:rPr>
                <w:rFonts w:hint="eastAsia"/>
                <w:snapToGrid w:val="0"/>
              </w:rPr>
            </w:pPr>
            <w:r>
              <w:rPr>
                <w:rFonts w:hint="eastAsia"/>
                <w:snapToGrid w:val="0"/>
              </w:rPr>
              <w:t>现因市场原因，该公司塑料添加剂PS-9产品现已不再生产，相关设备设施已停用，已向婺源县应急管理局进行了报停，已取得《化工企业停工停产报告备案登记表》。目前该公司生产规模为：医药中间体AT（150t/a）。</w:t>
            </w:r>
          </w:p>
          <w:p>
            <w:pPr>
              <w:ind w:firstLine="560"/>
              <w:rPr>
                <w:rFonts w:hint="eastAsia"/>
                <w:snapToGrid w:val="0"/>
              </w:rPr>
            </w:pPr>
            <w:r>
              <w:rPr>
                <w:rFonts w:hint="eastAsia"/>
                <w:snapToGrid w:val="0"/>
              </w:rPr>
              <w:t>该公司在役生产装置涉及的危险化学品有氯（液氯、氯气）、乙酸乙烯酯、硫脲、硝酸、硫酸、氢氧化钠溶液、氮气（仪表用气）、柴油（燃料）、乙酸溶液、R22（一氯二氟甲烷，制冷剂），不涉及监控化学品，涉及的易制毒化学品有硫酸，涉及的剧毒化学品有氯（液氯、氯气），涉及的高毒化学品有氯（氯气），涉及的重点监管的危险化学品有乙酸乙烯酯、氯（液氯、氯气），涉及的易制爆化学品有硝酸，涉及的特别管控危险化学品有氯（液氯、氯气），涉及的重点监管危险化工工艺有氯化工艺，涉及危险化学品的生产单元和储存单元均未构成危险化学品重大危险源。</w:t>
            </w:r>
          </w:p>
          <w:p>
            <w:pPr>
              <w:ind w:firstLine="560"/>
              <w:rPr>
                <w:rFonts w:hint="eastAsia"/>
                <w:snapToGrid w:val="0"/>
              </w:rPr>
            </w:pPr>
            <w:r>
              <w:rPr>
                <w:rFonts w:hint="eastAsia"/>
                <w:snapToGrid w:val="0"/>
              </w:rPr>
              <w:t>在生产过程中存在火灾爆炸、中毒和窒息、灼烫、触电、容器爆炸、锅炉爆炸、机械伤害、车辆伤害、高处坠落、物体打击、起重伤害、坍塌、淹溺等危险因素，最主要的危险因素是火灾爆炸、中毒和窒息。</w:t>
            </w:r>
          </w:p>
          <w:p>
            <w:pPr>
              <w:ind w:firstLine="560"/>
              <w:rPr>
                <w:rFonts w:hint="eastAsia"/>
                <w:snapToGrid w:val="0"/>
              </w:rPr>
            </w:pPr>
            <w:r>
              <w:rPr>
                <w:rFonts w:hint="eastAsia"/>
                <w:snapToGrid w:val="0"/>
              </w:rPr>
              <w:t>该公司在役装置副产品乙酸属于危险化学品，应按相关文件规定办理危险化学品生产企业安全生产许可证延期换证。</w:t>
            </w:r>
          </w:p>
          <w:p>
            <w:pPr>
              <w:ind w:firstLine="560"/>
              <w:rPr>
                <w:rFonts w:hint="eastAsia"/>
                <w:snapToGrid w:val="0"/>
              </w:rPr>
            </w:pPr>
            <w:r>
              <w:rPr>
                <w:rFonts w:hint="eastAsia"/>
                <w:snapToGrid w:val="0"/>
              </w:rPr>
              <w:t>该公司在役装置前期履行了安全设施“三同时”的相关程序，该公司自上一轮取得危险化学品安全生产许可证以来，三年内未发生过生产安全事故。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17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rPr>
                <w:color w:val="auto"/>
              </w:rPr>
            </w:pPr>
            <w:r>
              <w:rPr>
                <w:rFonts w:hint="eastAsia"/>
                <w:color w:val="auto"/>
              </w:rPr>
              <w:t>生产工艺流程</w:t>
            </w:r>
            <w:r>
              <w:rPr>
                <w:color w:val="auto"/>
              </w:rPr>
              <w:t>简述：</w:t>
            </w:r>
          </w:p>
          <w:p>
            <w:pPr>
              <w:ind w:firstLine="315" w:firstLineChars="150"/>
              <w:jc w:val="left"/>
              <w:rPr>
                <w:color w:val="auto"/>
              </w:rPr>
            </w:pPr>
            <w:r>
              <w:rPr>
                <w:rFonts w:hint="eastAsia"/>
                <w:color w:val="auto"/>
              </w:rPr>
              <w:t>（1）液氯</w:t>
            </w:r>
            <w:r>
              <w:rPr>
                <w:rFonts w:hint="eastAsia"/>
                <w:bCs/>
                <w:color w:val="auto"/>
              </w:rPr>
              <w:t>气</w:t>
            </w:r>
            <w:r>
              <w:rPr>
                <w:rFonts w:hint="eastAsia"/>
                <w:color w:val="auto"/>
              </w:rPr>
              <w:t>化</w:t>
            </w:r>
          </w:p>
          <w:p>
            <w:pPr>
              <w:ind w:firstLine="560"/>
              <w:jc w:val="left"/>
              <w:rPr>
                <w:color w:val="auto"/>
              </w:rPr>
            </w:pPr>
            <w:r>
              <w:rPr>
                <w:rFonts w:hint="eastAsia"/>
                <w:color w:val="auto"/>
              </w:rPr>
              <w:t>液氯通过管线流入气化器，气化器采用热水（</w:t>
            </w:r>
            <w:r>
              <w:rPr>
                <w:rFonts w:hint="eastAsia"/>
                <w:color w:val="auto"/>
                <w:lang w:val="en-US"/>
              </w:rPr>
              <w:t>75</w:t>
            </w:r>
            <w:r>
              <w:rPr>
                <w:rFonts w:hint="eastAsia"/>
                <w:color w:val="auto"/>
              </w:rPr>
              <w:t>℃～</w:t>
            </w:r>
            <w:r>
              <w:rPr>
                <w:rFonts w:hint="eastAsia"/>
                <w:color w:val="auto"/>
                <w:lang w:val="en-US"/>
              </w:rPr>
              <w:t>85</w:t>
            </w:r>
            <w:r>
              <w:rPr>
                <w:rFonts w:hint="eastAsia"/>
                <w:color w:val="auto"/>
              </w:rPr>
              <w:t>℃，用电磁阀自动控制</w:t>
            </w:r>
            <w:r>
              <w:rPr>
                <w:rFonts w:hint="eastAsia"/>
                <w:color w:val="auto"/>
                <w:lang w:val="en-US"/>
              </w:rPr>
              <w:t>蒸汽</w:t>
            </w:r>
            <w:r>
              <w:rPr>
                <w:rFonts w:hint="eastAsia"/>
                <w:color w:val="auto"/>
              </w:rPr>
              <w:t>）加热使氯气气化。氯气气化后进入氯气缓冲罐待用。</w:t>
            </w:r>
          </w:p>
          <w:p>
            <w:pPr>
              <w:ind w:firstLine="315" w:firstLineChars="150"/>
              <w:jc w:val="left"/>
              <w:rPr>
                <w:color w:val="auto"/>
              </w:rPr>
            </w:pPr>
            <w:r>
              <w:rPr>
                <w:rFonts w:hint="eastAsia"/>
                <w:color w:val="auto"/>
              </w:rPr>
              <w:t>（2）氯化工序</w:t>
            </w:r>
          </w:p>
          <w:p>
            <w:pPr>
              <w:ind w:firstLine="560"/>
              <w:jc w:val="left"/>
              <w:rPr>
                <w:color w:val="auto"/>
              </w:rPr>
            </w:pPr>
            <w:r>
              <w:rPr>
                <w:rFonts w:hint="eastAsia"/>
                <w:color w:val="auto"/>
              </w:rPr>
              <w:t>先将计量好的乙酸乙烯酯和催化剂加入氯化反应釜内，再加计量好的水。通过自控阀开冷冻盐水，降温至8-12℃，在搅拌状态下缓慢通入氯气反应3小时，控制反应温度在8-15℃左右。当温度下降</w:t>
            </w:r>
            <w:r>
              <w:rPr>
                <w:rFonts w:hint="eastAsia"/>
                <w:color w:val="auto"/>
                <w:lang w:val="en-US"/>
              </w:rPr>
              <w:t>2</w:t>
            </w:r>
            <w:r>
              <w:rPr>
                <w:rFonts w:hint="eastAsia"/>
                <w:color w:val="auto"/>
              </w:rPr>
              <w:t>℃</w:t>
            </w:r>
            <w:r>
              <w:rPr>
                <w:rFonts w:hint="eastAsia"/>
                <w:color w:val="auto"/>
                <w:lang w:val="en-US"/>
              </w:rPr>
              <w:t>左右，且</w:t>
            </w:r>
            <w:r>
              <w:rPr>
                <w:rFonts w:hint="eastAsia"/>
                <w:color w:val="auto"/>
              </w:rPr>
              <w:t>反应液变为黄绿色，则反应</w:t>
            </w:r>
            <w:r>
              <w:rPr>
                <w:rFonts w:hint="eastAsia"/>
                <w:color w:val="auto"/>
                <w:lang w:val="en-US"/>
              </w:rPr>
              <w:t>结束</w:t>
            </w:r>
            <w:r>
              <w:rPr>
                <w:rFonts w:hint="eastAsia"/>
                <w:color w:val="auto"/>
              </w:rPr>
              <w:t>，得乙酸</w:t>
            </w:r>
            <w:r>
              <w:rPr>
                <w:rFonts w:hint="eastAsia"/>
                <w:color w:val="auto"/>
                <w:lang w:eastAsia="zh-CN"/>
              </w:rPr>
              <w:t>－</w:t>
            </w:r>
            <w:r>
              <w:rPr>
                <w:rFonts w:hint="eastAsia"/>
                <w:color w:val="auto"/>
              </w:rPr>
              <w:t>α，β-一氯乙酯粗品。</w:t>
            </w:r>
          </w:p>
          <w:p>
            <w:pPr>
              <w:ind w:firstLine="560"/>
              <w:jc w:val="left"/>
              <w:rPr>
                <w:color w:val="auto"/>
              </w:rPr>
            </w:pPr>
            <w:r>
              <w:rPr>
                <w:rFonts w:hint="eastAsia"/>
                <w:color w:val="auto"/>
              </w:rPr>
              <w:t>（3）缩合工序</w:t>
            </w:r>
          </w:p>
          <w:p>
            <w:pPr>
              <w:ind w:firstLine="560"/>
              <w:jc w:val="left"/>
              <w:rPr>
                <w:color w:val="auto"/>
              </w:rPr>
            </w:pPr>
            <w:r>
              <w:rPr>
                <w:rFonts w:hint="eastAsia"/>
                <w:color w:val="auto"/>
              </w:rPr>
              <w:t>在缩合釜内加入乙酸</w:t>
            </w:r>
            <w:r>
              <w:rPr>
                <w:rFonts w:hint="eastAsia"/>
                <w:color w:val="auto"/>
                <w:lang w:eastAsia="zh-CN"/>
              </w:rPr>
              <w:t>－</w:t>
            </w:r>
            <w:r>
              <w:rPr>
                <w:rFonts w:hint="eastAsia"/>
                <w:color w:val="auto"/>
              </w:rPr>
              <w:t>α，β-一氯乙酯，开启搅拌，打开夹套蒸汽升温至70℃，然后分批加入计量好的粉末状硫脲，加完后维持在70℃继续反应2小时。反应完成后将缩合釜改为减压蒸馏蒸出副产物乙酸。蒸馏完成后开启冷冻盐水将缩合釜内浓缩液温度降至5℃以下，得2-氨基噻唑盐酸盐。蒸出的乙酸经冷凝后回收外售。</w:t>
            </w:r>
          </w:p>
          <w:p>
            <w:pPr>
              <w:ind w:firstLine="560"/>
              <w:rPr>
                <w:color w:val="auto"/>
              </w:rPr>
            </w:pPr>
            <w:r>
              <w:rPr>
                <w:rFonts w:hint="eastAsia"/>
                <w:color w:val="auto"/>
              </w:rPr>
              <w:t>（4）硝化工序</w:t>
            </w:r>
          </w:p>
          <w:p>
            <w:pPr>
              <w:ind w:firstLine="560"/>
              <w:rPr>
                <w:color w:val="auto"/>
              </w:rPr>
            </w:pPr>
            <w:r>
              <w:rPr>
                <w:rFonts w:hint="eastAsia"/>
                <w:color w:val="auto"/>
              </w:rPr>
              <w:t>在硝化釜加入2-氨基噻唑盐酸盐，开启搅拌，开启夹套蒸汽升温至13-15℃。然后在硝化釜内滴加硝酸，注意滴加速度，并控制反应温度不超过20℃。滴加完成后继续反应4个小时，反应结束后进入离心机，固料经烘箱烘干后即为2-氨基噻唑硝酸盐。滤液为废水，排入厂污水系统。</w:t>
            </w:r>
          </w:p>
          <w:p>
            <w:pPr>
              <w:ind w:firstLine="560"/>
              <w:rPr>
                <w:color w:val="auto"/>
              </w:rPr>
            </w:pPr>
            <w:r>
              <w:rPr>
                <w:rFonts w:hint="eastAsia"/>
                <w:color w:val="auto"/>
              </w:rPr>
              <w:t>（5）转位工序</w:t>
            </w:r>
          </w:p>
          <w:p>
            <w:pPr>
              <w:ind w:firstLine="560"/>
              <w:rPr>
                <w:color w:val="auto"/>
              </w:rPr>
            </w:pPr>
            <w:r>
              <w:rPr>
                <w:rFonts w:hint="eastAsia"/>
                <w:color w:val="auto"/>
              </w:rPr>
              <w:t>将计量好的硫酸、2-氨基噻唑硝酸盐加入转位釜内，开启搅拌，升温至55-60℃维持反应3小时。反应结束后转入稀释釜，并在稀释釜内加适量水稀释。开启搅拌，加入定量活性炭，搅拌半小时后进入压滤机过滤，滤液为2-氨基噻唑硫酸盐，滤渣为废活性炭。</w:t>
            </w:r>
          </w:p>
          <w:p>
            <w:pPr>
              <w:ind w:firstLine="560"/>
              <w:rPr>
                <w:color w:val="auto"/>
              </w:rPr>
            </w:pPr>
            <w:r>
              <w:rPr>
                <w:rFonts w:hint="eastAsia"/>
                <w:color w:val="auto"/>
              </w:rPr>
              <w:t>（6）中和工序</w:t>
            </w:r>
          </w:p>
          <w:p>
            <w:pPr>
              <w:ind w:firstLine="560"/>
              <w:jc w:val="left"/>
              <w:rPr>
                <w:color w:val="auto"/>
              </w:rPr>
            </w:pPr>
            <w:r>
              <w:rPr>
                <w:rFonts w:hint="eastAsia"/>
                <w:color w:val="auto"/>
              </w:rPr>
              <w:t>在中和釜内加入2-氨基噻唑硫酸盐，启动搅拌，开启冷冻盐水，温度控制在8-15℃。缓慢滴加碱液至</w:t>
            </w:r>
            <w:r>
              <w:rPr>
                <w:rFonts w:hint="eastAsia"/>
                <w:color w:val="auto"/>
                <w:lang w:eastAsia="zh-CN"/>
              </w:rPr>
              <w:t>pH值</w:t>
            </w:r>
            <w:r>
              <w:rPr>
                <w:rFonts w:hint="eastAsia"/>
                <w:color w:val="auto"/>
              </w:rPr>
              <w:t>为9，然后加入适量冰块降温水解，再滴加碱液进行中和，析出产物。产物析出后进入离心机，固料经烘箱烘干后即为产品。滤液为废水，排入厂污水系统。</w:t>
            </w:r>
          </w:p>
          <w:p>
            <w:pPr>
              <w:tabs>
                <w:tab w:val="left" w:pos="1265"/>
                <w:tab w:val="left" w:pos="1380"/>
              </w:tabs>
              <w:snapToGrid w:val="0"/>
              <w:spacing w:line="360" w:lineRule="auto"/>
              <w:jc w:val="center"/>
            </w:pPr>
            <w:r>
              <w:drawing>
                <wp:inline distT="0" distB="0" distL="114300" distR="114300">
                  <wp:extent cx="4448175" cy="7277100"/>
                  <wp:effectExtent l="0" t="0" r="952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4448175" cy="7277100"/>
                          </a:xfrm>
                          <a:prstGeom prst="rect">
                            <a:avLst/>
                          </a:prstGeom>
                          <a:noFill/>
                          <a:ln>
                            <a:noFill/>
                          </a:ln>
                        </pic:spPr>
                      </pic:pic>
                    </a:graphicData>
                  </a:graphic>
                </wp:inline>
              </w:drawing>
            </w:r>
          </w:p>
          <w:p>
            <w:pPr>
              <w:tabs>
                <w:tab w:val="left" w:pos="1265"/>
                <w:tab w:val="left" w:pos="1380"/>
              </w:tabs>
              <w:snapToGrid w:val="0"/>
              <w:spacing w:line="360" w:lineRule="auto"/>
              <w:jc w:val="center"/>
              <w:rPr>
                <w:rFonts w:ascii="宋体" w:hAnsi="宋体" w:cs="宋体"/>
                <w:snapToGrid w:val="0"/>
                <w:kern w:val="0"/>
                <w:szCs w:val="21"/>
              </w:rPr>
            </w:pPr>
            <w:r>
              <w:rPr>
                <w:rFonts w:hint="eastAsia" w:ascii="宋体" w:hAnsi="宋体" w:cs="宋体"/>
                <w:snapToGrid w:val="0"/>
                <w:kern w:val="0"/>
                <w:szCs w:val="21"/>
              </w:rPr>
              <w:t>工艺流程图</w:t>
            </w:r>
          </w:p>
          <w:p>
            <w:pPr>
              <w:tabs>
                <w:tab w:val="left" w:pos="1265"/>
                <w:tab w:val="left" w:pos="1380"/>
              </w:tabs>
              <w:snapToGrid w:val="0"/>
              <w:spacing w:line="360" w:lineRule="auto"/>
              <w:jc w:val="left"/>
              <w:rPr>
                <w:rFonts w:ascii="宋体" w:hAnsi="宋体" w:cs="宋体"/>
                <w:snapToGrid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rPr>
          <w:rFonts w:hint="eastAsia"/>
        </w:rPr>
        <w:br w:type="page"/>
      </w:r>
    </w:p>
    <w:p>
      <w:r>
        <w:rPr>
          <w:rFonts w:hint="eastAsia"/>
          <w:color w:val="auto"/>
          <w:lang w:val="en-US" w:bidi="ar-SA"/>
        </w:rPr>
        <w:drawing>
          <wp:inline distT="0" distB="0" distL="114300" distR="114300">
            <wp:extent cx="4907280" cy="3938905"/>
            <wp:effectExtent l="0" t="0" r="7620" b="4445"/>
            <wp:docPr id="64" name="图片 64" descr="04faab029be458ac100b692e99b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4faab029be458ac100b692e99b2968"/>
                    <pic:cNvPicPr>
                      <a:picLocks noChangeAspect="1"/>
                    </pic:cNvPicPr>
                  </pic:nvPicPr>
                  <pic:blipFill>
                    <a:blip r:embed="rId5"/>
                    <a:srcRect t="29287" b="10554"/>
                    <a:stretch>
                      <a:fillRect/>
                    </a:stretch>
                  </pic:blipFill>
                  <pic:spPr>
                    <a:xfrm>
                      <a:off x="0" y="0"/>
                      <a:ext cx="4907280" cy="3938905"/>
                    </a:xfrm>
                    <a:prstGeom prst="rect">
                      <a:avLst/>
                    </a:prstGeom>
                  </pic:spPr>
                </pic:pic>
              </a:graphicData>
            </a:graphic>
          </wp:inline>
        </w:drawing>
      </w:r>
    </w:p>
    <w:p/>
    <w:p>
      <w:r>
        <w:rPr>
          <w:rFonts w:hint="eastAsia" w:ascii="楷体" w:hAnsi="楷体" w:eastAsia="楷体" w:cs="楷体"/>
          <w:color w:val="auto"/>
          <w:sz w:val="32"/>
          <w:szCs w:val="32"/>
          <w:lang w:val="en-US" w:bidi="ar-SA"/>
        </w:rPr>
        <w:drawing>
          <wp:anchor distT="0" distB="0" distL="114300" distR="114300" simplePos="0" relativeHeight="251659264" behindDoc="1" locked="0" layoutInCell="1" allowOverlap="1">
            <wp:simplePos x="0" y="0"/>
            <wp:positionH relativeFrom="column">
              <wp:posOffset>7620</wp:posOffset>
            </wp:positionH>
            <wp:positionV relativeFrom="paragraph">
              <wp:posOffset>26035</wp:posOffset>
            </wp:positionV>
            <wp:extent cx="4874260" cy="4304665"/>
            <wp:effectExtent l="0" t="0" r="2540" b="635"/>
            <wp:wrapNone/>
            <wp:docPr id="66" name="图片 66" descr="6b767adf2c5e2d3e8d8109d49421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6b767adf2c5e2d3e8d8109d494213ac"/>
                    <pic:cNvPicPr>
                      <a:picLocks noChangeAspect="1"/>
                    </pic:cNvPicPr>
                  </pic:nvPicPr>
                  <pic:blipFill>
                    <a:blip r:embed="rId6"/>
                    <a:srcRect t="23340" b="10456"/>
                    <a:stretch>
                      <a:fillRect/>
                    </a:stretch>
                  </pic:blipFill>
                  <pic:spPr>
                    <a:xfrm>
                      <a:off x="0" y="0"/>
                      <a:ext cx="4874260" cy="4304665"/>
                    </a:xfrm>
                    <a:prstGeom prst="rect">
                      <a:avLst/>
                    </a:prstGeom>
                  </pic:spPr>
                </pic:pic>
              </a:graphicData>
            </a:graphic>
          </wp:anchor>
        </w:drawing>
      </w:r>
    </w:p>
    <w:p/>
    <w:p/>
    <w:p/>
    <w:p/>
    <w:p/>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r>
        <w:br w:type="page"/>
      </w:r>
    </w:p>
    <w:p>
      <w:r>
        <w:drawing>
          <wp:anchor distT="0" distB="0" distL="114300" distR="114300" simplePos="0" relativeHeight="251663360" behindDoc="1" locked="0" layoutInCell="1" allowOverlap="1">
            <wp:simplePos x="0" y="0"/>
            <wp:positionH relativeFrom="column">
              <wp:posOffset>-655320</wp:posOffset>
            </wp:positionH>
            <wp:positionV relativeFrom="paragraph">
              <wp:posOffset>-289560</wp:posOffset>
            </wp:positionV>
            <wp:extent cx="6586855" cy="9146540"/>
            <wp:effectExtent l="0" t="0" r="4445" b="1651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586855" cy="9146540"/>
                    </a:xfrm>
                    <a:prstGeom prst="rect">
                      <a:avLst/>
                    </a:prstGeom>
                    <a:noFill/>
                    <a:ln>
                      <a:noFill/>
                    </a:ln>
                  </pic:spPr>
                </pic:pic>
              </a:graphicData>
            </a:graphic>
          </wp:anchor>
        </w:drawing>
      </w:r>
      <w:r>
        <w:br w:type="page"/>
      </w:r>
    </w:p>
    <w:p>
      <w:pPr>
        <w:jc w:val="both"/>
      </w:pPr>
      <w:bookmarkStart w:id="0" w:name="_GoBack"/>
      <w:r>
        <w:drawing>
          <wp:anchor distT="0" distB="0" distL="114300" distR="114300" simplePos="0" relativeHeight="251660288" behindDoc="1" locked="0" layoutInCell="1" allowOverlap="1">
            <wp:simplePos x="0" y="0"/>
            <wp:positionH relativeFrom="column">
              <wp:posOffset>-851535</wp:posOffset>
            </wp:positionH>
            <wp:positionV relativeFrom="paragraph">
              <wp:posOffset>-815340</wp:posOffset>
            </wp:positionV>
            <wp:extent cx="6863715" cy="9730740"/>
            <wp:effectExtent l="0" t="0" r="13335" b="3810"/>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a:stretch>
                      <a:fillRect/>
                    </a:stretch>
                  </pic:blipFill>
                  <pic:spPr>
                    <a:xfrm>
                      <a:off x="0" y="0"/>
                      <a:ext cx="6863715" cy="9730740"/>
                    </a:xfrm>
                    <a:prstGeom prst="rect">
                      <a:avLst/>
                    </a:prstGeom>
                    <a:noFill/>
                    <a:ln>
                      <a:noFill/>
                    </a:ln>
                  </pic:spPr>
                </pic:pic>
              </a:graphicData>
            </a:graphic>
          </wp:anchor>
        </w:drawing>
      </w:r>
      <w:bookmarkEnd w:id="0"/>
    </w:p>
    <w:p>
      <w:pPr>
        <w:jc w:val="both"/>
      </w:pPr>
    </w:p>
    <w:p>
      <w:pPr>
        <w:jc w:val="both"/>
      </w:pPr>
    </w:p>
    <w:p>
      <w:pPr>
        <w:jc w:val="both"/>
        <w:rPr>
          <w:rFonts w:hint="eastAsia" w:ascii="Times New Roman" w:hAnsi="Times New Roman"/>
          <w:kern w:val="0"/>
          <w:sz w:val="28"/>
          <w:szCs w:val="28"/>
          <w:shd w:val="clear" w:color="auto" w:fill="FFFFFF"/>
        </w:rPr>
      </w:pPr>
    </w:p>
    <w:p/>
    <w:p/>
    <w:p/>
    <w:p/>
    <w:p/>
    <w:p/>
    <w:p/>
    <w:p/>
    <w:p/>
    <w:p/>
    <w:p/>
    <w:p/>
    <w:p/>
    <w:p/>
    <w:p/>
    <w:p/>
    <w:p/>
    <w:p/>
    <w:p/>
    <w:p/>
    <w:p/>
    <w:p/>
    <w:p/>
    <w:p/>
    <w:p/>
    <w:p/>
    <w:p/>
    <w:p/>
    <w:p/>
    <w:p/>
    <w:p/>
    <w:p/>
    <w:p/>
    <w:p/>
    <w:p/>
    <w:p/>
    <w:p/>
    <w:p>
      <w:r>
        <w:br w:type="page"/>
      </w:r>
    </w:p>
    <w:p/>
    <w:p>
      <w:r>
        <w:drawing>
          <wp:anchor distT="0" distB="0" distL="114300" distR="114300" simplePos="0" relativeHeight="251661312" behindDoc="1" locked="0" layoutInCell="1" allowOverlap="1">
            <wp:simplePos x="0" y="0"/>
            <wp:positionH relativeFrom="column">
              <wp:posOffset>-666750</wp:posOffset>
            </wp:positionH>
            <wp:positionV relativeFrom="paragraph">
              <wp:posOffset>-554355</wp:posOffset>
            </wp:positionV>
            <wp:extent cx="6417945" cy="7366000"/>
            <wp:effectExtent l="0" t="0" r="1905" b="635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9"/>
                    <a:stretch>
                      <a:fillRect/>
                    </a:stretch>
                  </pic:blipFill>
                  <pic:spPr>
                    <a:xfrm>
                      <a:off x="0" y="0"/>
                      <a:ext cx="6417945" cy="7366000"/>
                    </a:xfrm>
                    <a:prstGeom prst="rect">
                      <a:avLst/>
                    </a:prstGeom>
                    <a:noFill/>
                    <a:ln>
                      <a:noFill/>
                    </a:ln>
                  </pic:spPr>
                </pic:pic>
              </a:graphicData>
            </a:graphic>
          </wp:anchor>
        </w:drawing>
      </w:r>
      <w:r>
        <w:br w:type="page"/>
      </w:r>
    </w:p>
    <w:p>
      <w:pPr>
        <w:pStyle w:val="2"/>
      </w:pPr>
      <w:r>
        <w:drawing>
          <wp:anchor distT="0" distB="0" distL="114300" distR="114300" simplePos="0" relativeHeight="251662336" behindDoc="1" locked="0" layoutInCell="1" allowOverlap="1">
            <wp:simplePos x="0" y="0"/>
            <wp:positionH relativeFrom="column">
              <wp:posOffset>-590550</wp:posOffset>
            </wp:positionH>
            <wp:positionV relativeFrom="paragraph">
              <wp:posOffset>-436245</wp:posOffset>
            </wp:positionV>
            <wp:extent cx="6633845" cy="9230360"/>
            <wp:effectExtent l="0" t="0" r="14605" b="889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tretch>
                      <a:fillRect/>
                    </a:stretch>
                  </pic:blipFill>
                  <pic:spPr>
                    <a:xfrm>
                      <a:off x="0" y="0"/>
                      <a:ext cx="6633845" cy="9230360"/>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N2U3YjgwYmFiODFhZWM5YTkwNDFlYjJiYWFlOTQ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6007F0A"/>
    <w:rsid w:val="062E2CC9"/>
    <w:rsid w:val="06567547"/>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E07C54"/>
    <w:rsid w:val="0FFD1618"/>
    <w:rsid w:val="10806817"/>
    <w:rsid w:val="10A546BD"/>
    <w:rsid w:val="10AD0B5D"/>
    <w:rsid w:val="10AE1BD9"/>
    <w:rsid w:val="10D96D50"/>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2731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5EA6222"/>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C93DF7"/>
    <w:rsid w:val="43F50190"/>
    <w:rsid w:val="4432163F"/>
    <w:rsid w:val="44476729"/>
    <w:rsid w:val="4546743F"/>
    <w:rsid w:val="45A13141"/>
    <w:rsid w:val="46966FC2"/>
    <w:rsid w:val="46F56910"/>
    <w:rsid w:val="47EE36B2"/>
    <w:rsid w:val="485E76F8"/>
    <w:rsid w:val="487A531F"/>
    <w:rsid w:val="48AF6D87"/>
    <w:rsid w:val="49CE6C17"/>
    <w:rsid w:val="4A437992"/>
    <w:rsid w:val="4CDE060B"/>
    <w:rsid w:val="4E2E60EA"/>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BF25D18"/>
    <w:rsid w:val="7C304A31"/>
    <w:rsid w:val="7C6520EB"/>
    <w:rsid w:val="7C85225C"/>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6">
    <w:name w:val="heading 2"/>
    <w:basedOn w:val="7"/>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7">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8">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ind w:firstLine="420" w:firstLineChars="200"/>
    </w:pPr>
  </w:style>
  <w:style w:type="paragraph" w:styleId="3">
    <w:name w:val="Body Text Indent"/>
    <w:basedOn w:val="1"/>
    <w:next w:val="2"/>
    <w:unhideWhenUsed/>
    <w:qFormat/>
    <w:uiPriority w:val="99"/>
    <w:pPr>
      <w:spacing w:after="120"/>
      <w:ind w:left="420" w:leftChars="200"/>
    </w:pPr>
  </w:style>
  <w:style w:type="paragraph" w:styleId="4">
    <w:name w:val="Body Text"/>
    <w:basedOn w:val="1"/>
    <w:next w:val="1"/>
    <w:qFormat/>
    <w:uiPriority w:val="99"/>
    <w:rPr>
      <w:sz w:val="28"/>
      <w:szCs w:val="28"/>
    </w:rPr>
  </w:style>
  <w:style w:type="paragraph" w:styleId="9">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4"/>
    <w:next w:val="1"/>
    <w:qFormat/>
    <w:uiPriority w:val="0"/>
    <w:pPr>
      <w:spacing w:after="120"/>
      <w:ind w:firstLine="420" w:firstLineChars="1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6"/>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8</Pages>
  <Words>1705</Words>
  <Characters>1937</Characters>
  <Lines>8</Lines>
  <Paragraphs>2</Paragraphs>
  <TotalTime>0</TotalTime>
  <ScaleCrop>false</ScaleCrop>
  <LinksUpToDate>false</LinksUpToDate>
  <CharactersWithSpaces>1937</CharactersWithSpaces>
  <Application>WPS Office_11.1.0.15309_F1E327BC-269C-435d-A152-05C5408002CA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K</cp:lastModifiedBy>
  <dcterms:modified xsi:type="dcterms:W3CDTF">2025-01-10T07:55:16Z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2052-11.1.0.15309</vt:lpwstr>
  </property>
  <property fmtid="{D5CDD505-2E9C-101B-9397-08002B2CF9AE}" pid="3" name="ICV">
    <vt:lpwstr>DF8838ED3FCC40EDA87D519F4E4824F3_13</vt:lpwstr>
  </property>
  <property fmtid="{D5CDD505-2E9C-101B-9397-08002B2CF9AE}" pid="4" name="KSOTemplateDocerSaveRecord">
    <vt:lpwstr>eyJoZGlkIjoiNDgzMjdiZTZhYWEwMDUyMzMwMzdhZWM2ZmNjMGMzMDkiLCJ1c2VySWQiOiI1NzcyNjAwMzgifQ==</vt:lpwstr>
  </property>
</Properties>
</file>